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AE8DD" w14:textId="77777777" w:rsidR="00713652" w:rsidRPr="00DA57BA" w:rsidRDefault="00713652" w:rsidP="00713652">
      <w:pPr>
        <w:widowControl/>
        <w:spacing w:before="100" w:beforeAutospacing="1" w:after="100" w:afterAutospacing="1" w:line="300" w:lineRule="atLeast"/>
        <w:jc w:val="center"/>
        <w:outlineLvl w:val="1"/>
        <w:rPr>
          <w:rFonts w:ascii="微软雅黑" w:eastAsia="微软雅黑" w:hAnsi="微软雅黑" w:cs="宋体"/>
          <w:color w:val="464646"/>
          <w:kern w:val="0"/>
          <w:sz w:val="32"/>
          <w:szCs w:val="32"/>
        </w:rPr>
      </w:pPr>
      <w:r w:rsidRPr="00DA57BA">
        <w:rPr>
          <w:rFonts w:ascii="微软雅黑" w:eastAsia="微软雅黑" w:hAnsi="微软雅黑" w:cs="宋体" w:hint="eastAsia"/>
          <w:color w:val="464646"/>
          <w:kern w:val="0"/>
          <w:sz w:val="32"/>
          <w:szCs w:val="32"/>
        </w:rPr>
        <w:t>法人金融机构洗钱和恐怖融资风险管理指引(试行)</w:t>
      </w:r>
    </w:p>
    <w:p w14:paraId="78E45134" w14:textId="77777777" w:rsidR="00713652" w:rsidRPr="00DA57BA" w:rsidRDefault="00713652" w:rsidP="005B7CA5">
      <w:pPr>
        <w:widowControl/>
        <w:spacing w:before="100" w:beforeAutospacing="1" w:after="100" w:afterAutospacing="1" w:line="360" w:lineRule="auto"/>
        <w:ind w:firstLineChars="200" w:firstLine="460"/>
        <w:jc w:val="center"/>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第一章</w:t>
      </w:r>
      <w:r w:rsidRPr="00DA57BA">
        <w:rPr>
          <w:rFonts w:ascii="simsun" w:eastAsia="宋体" w:hAnsi="simsun" w:cs="宋体"/>
          <w:color w:val="464646"/>
          <w:kern w:val="0"/>
          <w:szCs w:val="21"/>
        </w:rPr>
        <w:t xml:space="preserve"> </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总则</w:t>
      </w:r>
    </w:p>
    <w:p w14:paraId="6A0C3FC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第一条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为引导法人金融机构深入实践风险为本方法，落实《关于完善反洗钱、反恐怖融资、反逃税监管体制机制的意见》加强法人金融机构反洗钱和反恐怖融资工作，有效预防洗钱及相关违法犯罪活动，根据《中华人民共和国反洗钱法》、《中华人民共和国反恐怖主义法》《中华人民共和国中国人民银行法》等法律法规，制定本指引。</w:t>
      </w:r>
    </w:p>
    <w:p w14:paraId="72F8D538"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本指引适用于在中华人民共和国境内依法设立的法人金融机构。</w:t>
      </w:r>
    </w:p>
    <w:p w14:paraId="4F18AA3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高度重视洗钱、恐怖融资和扩散融资风险（以下统称洗钱风险）管理，充分认识在开展业务和经营管理过程中可能被违法犯罪活动利用而面临的洗钱风险。任何洗钱风险事件或案件的发生都可能带来严重的声誉风险和法律风险，并导致客户流失、业务损失和财务损失。</w:t>
      </w:r>
    </w:p>
    <w:p w14:paraId="00462CE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有效的洗钱风险管理是法人金融机构安全、稳健运行的基础，法人金融机构及其全体员工应当勤勉尽责，牢固树立合规意识和风险意识，建立健全洗钱风险管理体系，按照风险为本方法，合理配置资源，对本机构洗钱风险进行持续识别、审慎评估、有效控制及全程管理，有效防范洗钱风险。</w:t>
      </w:r>
    </w:p>
    <w:p w14:paraId="1F34C973"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法人金融机构应当考虑洗钱风险与声誉、法律、流动性等风险之间的关联性和传导性，审慎评估洗钱风险对声誉、运营、财务等方面的影响，防范洗钱风险传导与扩散。</w:t>
      </w:r>
    </w:p>
    <w:p w14:paraId="4720F11C"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第五条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法人金融机构洗钱风险管理应当遵循以下主要原则</w:t>
      </w:r>
      <w:r w:rsidRPr="00DA57BA">
        <w:rPr>
          <w:rFonts w:ascii="simsun" w:eastAsia="宋体" w:hAnsi="simsun" w:cs="宋体"/>
          <w:color w:val="464646"/>
          <w:kern w:val="0"/>
          <w:sz w:val="23"/>
          <w:szCs w:val="23"/>
        </w:rPr>
        <w:t>:</w:t>
      </w:r>
    </w:p>
    <w:p w14:paraId="55CE871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（一）全面性原则。洗钱风险管理应当贯穿决策、执行和监督的全过程；覆盖各项业务活动和管理流程；覆盖所有境内外分支机构及相关附属机构，以及相关部门、岗位和人员。</w:t>
      </w:r>
    </w:p>
    <w:p w14:paraId="6F21D8AB"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（二）独立性原则。洗钱风险管理应当在组织架构、制度、流程、人员安排、报告路线等方面保持独立性，对业务经营和管理决策保持合理制衡。</w:t>
      </w:r>
    </w:p>
    <w:p w14:paraId="00820B5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（三）匹配性原则。洗钱风险管理资源投入应当与所处行业风险特征、管理模式、业务规模、产品复杂程度等因素相适应，并根据情况变化及时调整。</w:t>
      </w:r>
    </w:p>
    <w:p w14:paraId="17FAB05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（四）有效性原则。洗钱风险管理应当融入日常业务和经营管理，根据实际风险情况采取有针对性的控制措施，将洗钱风险控制在自身风险管理能力范围内。</w:t>
      </w:r>
    </w:p>
    <w:p w14:paraId="074C1DB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第六条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洗钱风险管理体系应当包括但不限于以下要素</w:t>
      </w:r>
      <w:r w:rsidRPr="00DA57BA">
        <w:rPr>
          <w:rFonts w:ascii="simsun" w:eastAsia="宋体" w:hAnsi="simsun" w:cs="宋体"/>
          <w:color w:val="464646"/>
          <w:kern w:val="0"/>
          <w:sz w:val="23"/>
          <w:szCs w:val="23"/>
        </w:rPr>
        <w:t>:</w:t>
      </w:r>
    </w:p>
    <w:p w14:paraId="0E1C396E"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（一）风险管理架构；</w:t>
      </w:r>
    </w:p>
    <w:p w14:paraId="6BD3E12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（二）风险管理策略；</w:t>
      </w:r>
    </w:p>
    <w:p w14:paraId="3A7263FC"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（三）风险管理政策和程序；</w:t>
      </w:r>
    </w:p>
    <w:p w14:paraId="51729AAE"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（四）信息系统、数据治理；</w:t>
      </w:r>
    </w:p>
    <w:p w14:paraId="34A4E0C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（五）内部检查、审计、绩效考核和奖惩机制。</w:t>
      </w:r>
    </w:p>
    <w:p w14:paraId="344FE46C"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第七条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法人金融机构应当积极建设洗钱风险管理文化，促进全体员工树立洗钱风险管理意识、坚持价值准则、恪守职业操守，营造主动管理、合规经营的良好文化氛围。</w:t>
      </w:r>
    </w:p>
    <w:p w14:paraId="77FACA9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第八条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中国人民银行及其分支机构依法对法人金融机构洗钱风险管理工作实施监督管理。</w:t>
      </w:r>
    </w:p>
    <w:p w14:paraId="6B39F384" w14:textId="77777777" w:rsidR="00713652" w:rsidRPr="00DA57BA" w:rsidRDefault="00713652" w:rsidP="005B7CA5">
      <w:pPr>
        <w:widowControl/>
        <w:spacing w:before="100" w:beforeAutospacing="1" w:after="100" w:afterAutospacing="1" w:line="360" w:lineRule="auto"/>
        <w:ind w:firstLineChars="200" w:firstLine="460"/>
        <w:jc w:val="center"/>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第二章</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风险管理架构</w:t>
      </w:r>
    </w:p>
    <w:p w14:paraId="293FFCE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第九条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建立组织健全、结构完整、职责明确的洗钱风险管理架构，规范董事会、监事会、高级管理层、业务部门、反洗钱管理部门、内部审计部门、人力资源部门、信息科技部门、境内外分支机构和相关附属机构在洗钱风险管理中的职责分工，建立层次清晰、相互协调、有效配合的运行机制。</w:t>
      </w:r>
    </w:p>
    <w:p w14:paraId="16D4E2D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第十条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法人金融机构董事会承担洗钱风险管理的最终责任，主要履行以下职责</w:t>
      </w:r>
      <w:r w:rsidRPr="00DA57BA">
        <w:rPr>
          <w:rFonts w:ascii="simsun" w:eastAsia="宋体" w:hAnsi="simsun" w:cs="宋体"/>
          <w:color w:val="464646"/>
          <w:kern w:val="0"/>
          <w:sz w:val="23"/>
          <w:szCs w:val="23"/>
        </w:rPr>
        <w:t>:</w:t>
      </w:r>
    </w:p>
    <w:p w14:paraId="000EEDD5"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（一）确立洗钱风险管理文化建设目标；</w:t>
      </w:r>
    </w:p>
    <w:p w14:paraId="57C6BFCC"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（二）审定洗钱风险管理策略；</w:t>
      </w:r>
    </w:p>
    <w:p w14:paraId="7EB8D085"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（三）审批洗钱风险管理的政策和程序；</w:t>
      </w:r>
    </w:p>
    <w:p w14:paraId="13247CE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（四）授权高级管理人员牵头负责洗钱风险管理；</w:t>
      </w:r>
    </w:p>
    <w:p w14:paraId="79D748E8"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（五）定期审阅反洗钱工作报告，及时了解重大洗钱风险事件及处理情况；</w:t>
      </w:r>
    </w:p>
    <w:p w14:paraId="5314DA93"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（六）其他相关职。</w:t>
      </w:r>
    </w:p>
    <w:p w14:paraId="621221A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董事会可以授权下设的专业委员会履行其洗钱风险管理的部分职责。专业委员会负责向董事会提供洗钱风险管理专业意见。</w:t>
      </w:r>
    </w:p>
    <w:p w14:paraId="6CA0EA5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第十一条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法人金融机构监事会承担洗钱风险管理的监督责任，负责监督董事会和高级管理层在洗钱风险管理方面的履职尽责情况并督促整改，对法人金融机构的洗钱风险管理提出建议和意见。</w:t>
      </w:r>
    </w:p>
    <w:p w14:paraId="744BD98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第十二条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法人金融机构高级管理层承担洗钱风险管理的实施责任，执行董事会决议，主要履行以下职责</w:t>
      </w:r>
      <w:r w:rsidRPr="00DA57BA">
        <w:rPr>
          <w:rFonts w:ascii="simsun" w:eastAsia="宋体" w:hAnsi="simsun" w:cs="宋体"/>
          <w:color w:val="464646"/>
          <w:kern w:val="0"/>
          <w:sz w:val="23"/>
          <w:szCs w:val="23"/>
        </w:rPr>
        <w:t>:</w:t>
      </w:r>
    </w:p>
    <w:p w14:paraId="1CE632D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（一）推动洗钱风险管理文化建设；</w:t>
      </w:r>
    </w:p>
    <w:p w14:paraId="46385D1C"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（二）建立并及时调整洗钱风险管理组织架构，明确反洗钱管理部门、业务部门及其他部门在洗钱风险管理中的职责分工和协调机制；</w:t>
      </w:r>
    </w:p>
    <w:p w14:paraId="7B58C533"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（三）制定、调整洗钱风险管理策略及其执行机制；</w:t>
      </w:r>
    </w:p>
    <w:p w14:paraId="1792210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（四）审核洗钱风险管理政策和程序；</w:t>
      </w:r>
    </w:p>
    <w:p w14:paraId="5C0ABC5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（五）定期向董事会报告反洗钱工作情况，及时向董事会和监事会报告重大洗钱风险事件；</w:t>
      </w:r>
    </w:p>
    <w:p w14:paraId="22E981B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（六）组织落实反洗钱信息系统和数据治理；</w:t>
      </w:r>
    </w:p>
    <w:p w14:paraId="7323522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（七）组织落实反洗钱绩效考核和奖惩机制；</w:t>
      </w:r>
    </w:p>
    <w:p w14:paraId="2D1487B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（八）根据董事会授权对违反洗钱风险管理政策和程序的情况进行处理</w:t>
      </w:r>
    </w:p>
    <w:p w14:paraId="07A7BC5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（九）其他相关职责。</w:t>
      </w:r>
    </w:p>
    <w:p w14:paraId="48F04FC9"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第十三条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任命或授权一名高级管理人员牵头负责洗钱风险管理工作，其有权独立开展工作，直接向董事会报告洗钱风险管理情况。法人金融机构应当确保其能够充分获取履职所需的权限和资源，避免可能影响其有效履职的利益冲突。</w:t>
      </w:r>
    </w:p>
    <w:p w14:paraId="46319C2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牵头负责洗钱风险管理工作的高级管理人员应当具备较强的履职能力和职业操守，同时具有五年以上合规或风险管理工作经历，或者具有所在行业十年以上工作经历。法人金融机构任命上述高级管理人员，应当按照规定向中国人民银行或当地人民银行备案。</w:t>
      </w:r>
    </w:p>
    <w:p w14:paraId="783F43C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第十四条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反洗钱管理部门牵头开展洗钱风险管理工作，推动落实各项反洗钱工作，主要履行以下职责</w:t>
      </w:r>
      <w:r w:rsidRPr="00DA57BA">
        <w:rPr>
          <w:rFonts w:ascii="simsun" w:eastAsia="宋体" w:hAnsi="simsun" w:cs="宋体"/>
          <w:color w:val="464646"/>
          <w:kern w:val="0"/>
          <w:sz w:val="23"/>
          <w:szCs w:val="23"/>
        </w:rPr>
        <w:t>:</w:t>
      </w:r>
    </w:p>
    <w:p w14:paraId="2E170B9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（一）制定起草洗钱风险管理政策和程序；</w:t>
      </w:r>
    </w:p>
    <w:p w14:paraId="4523AC6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（二）贯彻落实反洗钱法律法规和监管要求，建立健全反洗钱内部控制制度及内部检查机制；</w:t>
      </w:r>
    </w:p>
    <w:p w14:paraId="049955B1"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（三）识别、评估、监测本机构的洗钱风险，提出控制洗钱风险的措施和建议，及时向高级管理层报告；</w:t>
      </w:r>
    </w:p>
    <w:p w14:paraId="09792738"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（四）持续检查洗钱风险管理策略及洗钱风险管理政策和程序的执行情况，对违反风险管理政策和程序的情况及时预警、报告并提出处理建议；</w:t>
      </w:r>
    </w:p>
    <w:p w14:paraId="07E2408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（五）建立反洗钱工作协调机制，指导业务部门开展洗钱</w:t>
      </w:r>
    </w:p>
    <w:p w14:paraId="0DD127F9"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（六）组织或协调各相关部门开展客户洗钱风险分类管理；</w:t>
      </w:r>
    </w:p>
    <w:p w14:paraId="2BF73B2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（七）组织落实交易监测和名单监控的相关要求，按照规定报告大额交易和可疑交易；</w:t>
      </w:r>
    </w:p>
    <w:p w14:paraId="46A4E36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（八）牵头配合反洗钱监管，协调配合反洗钱行政调查；</w:t>
      </w:r>
    </w:p>
    <w:p w14:paraId="3EB545B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（九）组织或协调相关部门开展反洗钱宣传和培训、建立健全反洗钱绩效考核和奖惩机制、建设完善反洗钱信息系统。</w:t>
      </w:r>
    </w:p>
    <w:p w14:paraId="4B3FEF5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第十五条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业务部门承担洗钱风险管理的直接责任，主要履行以下职责</w:t>
      </w:r>
      <w:r w:rsidRPr="00DA57BA">
        <w:rPr>
          <w:rFonts w:ascii="simsun" w:eastAsia="宋体" w:hAnsi="simsun" w:cs="宋体"/>
          <w:color w:val="464646"/>
          <w:kern w:val="0"/>
          <w:sz w:val="23"/>
          <w:szCs w:val="23"/>
        </w:rPr>
        <w:t>:</w:t>
      </w:r>
    </w:p>
    <w:p w14:paraId="6ECCE9F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（一）识别、评估、监测本业务条线的洗钱风险，及时向反洗钱管理部门报告；</w:t>
      </w:r>
    </w:p>
    <w:p w14:paraId="4638860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（二）建立相应的工作机制，将洗钱风险管理要求嵌入产品研发、流程设计、业务管理和具体操作；</w:t>
      </w:r>
    </w:p>
    <w:p w14:paraId="017A26D7"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（三）开展或配合开展客户身份识别和客户洗钱风险分类管理，采取针对性的风险应对措施；</w:t>
      </w:r>
    </w:p>
    <w:p w14:paraId="4630C259"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（四）以业务（含产品、服务）的洗钱风险评估为基础，完善各项业务操作流程；</w:t>
      </w:r>
    </w:p>
    <w:p w14:paraId="579CABAB"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（五）完整并妥善保存客户身份资料及交易记录；</w:t>
      </w:r>
    </w:p>
    <w:p w14:paraId="3072B489"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（六）开展或配合开展交易监测和名单监控，确保名单监控有效性，按照规定对相关资产和账户采取管控措施；</w:t>
      </w:r>
    </w:p>
    <w:p w14:paraId="3B84B773"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（七）配合反洗钱监管和反洗钱行政调查工作；</w:t>
      </w:r>
    </w:p>
    <w:p w14:paraId="6D7E7BC9"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（八）开展本业务条线反洗钱工作检查；</w:t>
      </w:r>
    </w:p>
    <w:p w14:paraId="285FB30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（九）开展本业务条线反洗钱宣传和培训；</w:t>
      </w:r>
    </w:p>
    <w:p w14:paraId="7A63C15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（十）配合反洗钱管理部门开展其他反洗钱工作。</w:t>
      </w:r>
    </w:p>
    <w:p w14:paraId="5FFC6651"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第十六条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第十四条</w:t>
      </w:r>
      <w:r w:rsidRPr="00DA57BA">
        <w:rPr>
          <w:rFonts w:ascii="simsun" w:eastAsia="宋体" w:hAnsi="simsun" w:cs="宋体"/>
          <w:color w:val="464646"/>
          <w:kern w:val="0"/>
          <w:sz w:val="23"/>
          <w:szCs w:val="23"/>
        </w:rPr>
        <w:t>  </w:t>
      </w:r>
      <w:r w:rsidRPr="00DA57BA">
        <w:rPr>
          <w:rFonts w:ascii="宋体" w:eastAsia="宋体" w:hAnsi="宋体" w:cs="宋体" w:hint="eastAsia"/>
          <w:color w:val="464646"/>
          <w:kern w:val="0"/>
          <w:sz w:val="23"/>
          <w:szCs w:val="23"/>
        </w:rPr>
        <w:t>、第十五条所述反洗钱工作职责、事项，涉及运营管理、风险管理、法律事务、财务会计、安全保卫等其他部门的，法人金融机构应当就上述部门对相关工作的职责分工进行明确规定。</w:t>
      </w:r>
    </w:p>
    <w:p w14:paraId="70EE114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第十七条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内部审计部门负责对反洗钱法律法规和监管要求的执行情况、内部控制制度的有效性和执行情况、洗钱风险管理情况进行独立、客观的审计评价。</w:t>
      </w:r>
    </w:p>
    <w:p w14:paraId="7818F707"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未设立审计部门的法人金融机构，应当明确相关工作由承担审计职能的其他部门承担，并保证相关工作的独立性。</w:t>
      </w:r>
    </w:p>
    <w:p w14:paraId="70C9B0A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第十八条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人力资源部门负责洗钱风险管理的人力资源保障，结合洗钱风险管理需求，合理配置洗钱风险管理职位、职级和职数，选用符合标准的人员，建立反洗钱绩效考核和奖惩机制，为反洗钱宣导和培训提供支持。</w:t>
      </w:r>
    </w:p>
    <w:p w14:paraId="048B63F8"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第十九条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信息科技部门负责反洗钱信息系统及相关系统的开发、日常维护及升级等工作，为洗钱风险管理提供必要的硬件设备和技术支持，根据相关数据安全和保密管理等监管要求，对客户、账户、交易信息及其他相关电子化信息进行保管和处理。</w:t>
      </w:r>
    </w:p>
    <w:p w14:paraId="7286DE75"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第二十条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加强对境内外分支机构和相关附属机构的管理指导和监督，采取必要措施保证洗钱风险管理政策和程序在境内外分支机构和相关附属机构得到充分理解与有效执行，保持洗钱风险管理的一致性和有效性。</w:t>
      </w:r>
    </w:p>
    <w:p w14:paraId="3B1125A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对于在境外设有分支机构或相关附属机构的法人金融机构，如果本指引的要求比所驻国家或地区的相关规定更为严格，但所驻国家或地区法律禁止或限制境外分支机构和相关附属机构实施本指引，法人金融机构应当采取适当的其他措施应对洗钱风险，并向中国人民银行报告。如果其他措施无法有效控制风险，法人金融机构应当考虑在适当情况下关闭境外分支机构或相关附属机构。</w:t>
      </w:r>
    </w:p>
    <w:p w14:paraId="1BDDD73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第二十一条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金融控股公司（集团）应当在集团层面实施统一的洗钱风险管理政策和程序，结合各专业公司的业务和产品特点，以客户为单位，建立适用于集团</w:t>
      </w:r>
      <w:r w:rsidRPr="00DA57BA">
        <w:rPr>
          <w:rFonts w:ascii="宋体" w:eastAsia="宋体" w:hAnsi="宋体" w:cs="宋体" w:hint="eastAsia"/>
          <w:color w:val="464646"/>
          <w:kern w:val="0"/>
          <w:sz w:val="23"/>
          <w:szCs w:val="23"/>
        </w:rPr>
        <w:lastRenderedPageBreak/>
        <w:t>层面的可疑交易监测体系有效识别和应对跨市场、跨行业和跨机构的洗钱风险，防范洗钱风险在不同专业公司间的传导。</w:t>
      </w:r>
    </w:p>
    <w:p w14:paraId="28968CF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第二十二条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法人金融机构反洗钱资源配置应当与其业务发展相匹配，配备充足的洗钱风险管理人员，其中</w:t>
      </w:r>
      <w:r w:rsidRPr="00DA57BA">
        <w:rPr>
          <w:rFonts w:ascii="simsun" w:eastAsia="宋体" w:hAnsi="simsun" w:cs="宋体"/>
          <w:color w:val="464646"/>
          <w:kern w:val="0"/>
          <w:sz w:val="23"/>
          <w:szCs w:val="23"/>
        </w:rPr>
        <w:t>:</w:t>
      </w:r>
      <w:r w:rsidRPr="00DA57BA">
        <w:rPr>
          <w:rFonts w:ascii="宋体" w:eastAsia="宋体" w:hAnsi="宋体" w:cs="宋体" w:hint="eastAsia"/>
          <w:color w:val="464646"/>
          <w:kern w:val="0"/>
          <w:sz w:val="23"/>
          <w:szCs w:val="23"/>
        </w:rPr>
        <w:t>反洗钱管理部门应当配备专职洗钱风险管理岗位（反洗钱岗位）人员，业务部门、境内外分支机构及相关附属机构应当根据业务实际和洗钱风险状况配备专职或兼职洗钱风险管理岗位（反洗钱岗位）人员。法人金融机构应当从制度建设、业务审核、风险评估、系统建设、监测分析、合规制裁、案件管理等角度细分洗钱风险管理岗位（反洗钱岗位）。洗钱风险管理岗位（反洗钱岗位）职级不得低于法人金融机构其他风险管理岗位职级，不得将洗钱风险管理岗位（反洗钱岗位）简单设置为操作类岗位或外包。从事监测分析工作的人员配备应当与本机构的可疑交易甄别分析工作量相匹配。专职人员应当具有三年以上金融行业从业经历，专职人员和兼职人员均应当具备必要的履职能力和职业操守。</w:t>
      </w:r>
    </w:p>
    <w:p w14:paraId="32AA7862" w14:textId="77777777" w:rsidR="00713652" w:rsidRPr="00DA57BA" w:rsidRDefault="00713652" w:rsidP="00183BCE">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法人金融机构有条件配备专职人员的，不得以兼职人员替代专职人员。兼职人员占全部洗钱风险管理人员的比例不得高于</w:t>
      </w:r>
      <w:r w:rsidRPr="00DA57BA">
        <w:rPr>
          <w:rFonts w:ascii="simsun" w:eastAsia="宋体" w:hAnsi="simsun" w:cs="宋体"/>
          <w:color w:val="464646"/>
          <w:kern w:val="0"/>
          <w:sz w:val="23"/>
          <w:szCs w:val="23"/>
        </w:rPr>
        <w:t>80</w:t>
      </w:r>
      <w:r w:rsidRPr="00DA57BA">
        <w:rPr>
          <w:rFonts w:ascii="宋体" w:eastAsia="宋体" w:hAnsi="宋体" w:cs="宋体" w:hint="eastAsia"/>
          <w:color w:val="464646"/>
          <w:kern w:val="0"/>
          <w:sz w:val="23"/>
          <w:szCs w:val="23"/>
        </w:rPr>
        <w:t>％</w:t>
      </w:r>
      <w:r w:rsidRPr="00DA57BA">
        <w:rPr>
          <w:rFonts w:ascii="simsun" w:eastAsia="宋体" w:hAnsi="simsun" w:cs="宋体"/>
          <w:color w:val="464646"/>
          <w:kern w:val="0"/>
          <w:sz w:val="23"/>
          <w:szCs w:val="23"/>
        </w:rPr>
        <w:t>.</w:t>
      </w:r>
    </w:p>
    <w:p w14:paraId="50D91839"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第二十三条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在聘用员工、任命或授权高级管理人员、选用洗钱风险管理人员、引入战略投资者或在主要股东和控股股东入股之前，应当对其是否涉及刑事犯罪、是否存在其他犯罪记录及过往履职经历等情况进行充分的背景调查，评估可能存在的洗钱风险。</w:t>
      </w:r>
    </w:p>
    <w:p w14:paraId="33832DA1"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第二十四条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赋予反洗钱管理部门、业务部门、审计部门等部门及洗钱风险管理人员充足的资源和授权，在组织架构、管理流程等方面确保其工作履职的独立性，保证其能够及时获得洗钱风险管理所需的数据和信息，满足履行洗钱风险管理职责的需要。</w:t>
      </w:r>
    </w:p>
    <w:p w14:paraId="4A7A5B0B"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第二十五条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法人金融机构应当持续开展各类反洗钱宣传和培训，促进洗钱风险管理文化得到充分传导，全面提高全体员工的反洗钱知识、技能和意识，确保全体员工能够适应所在岗位的反洗钱履职需要。</w:t>
      </w:r>
    </w:p>
    <w:p w14:paraId="5303A1DE" w14:textId="77777777" w:rsidR="00713652" w:rsidRPr="00DA57BA" w:rsidRDefault="00713652" w:rsidP="00AF58A9">
      <w:pPr>
        <w:widowControl/>
        <w:spacing w:before="100" w:beforeAutospacing="1" w:after="100" w:afterAutospacing="1" w:line="360" w:lineRule="auto"/>
        <w:ind w:firstLineChars="200" w:firstLine="460"/>
        <w:jc w:val="center"/>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第三章</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风险管理策略</w:t>
      </w:r>
    </w:p>
    <w:p w14:paraId="4D659891"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第二十六条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制定科学、清晰、可行的洗钱风险管理策略，完善相关制度和工作机制，合理配置、统筹安排人员、资金、系统等反洗钱资源，并定期评估其有效性。洗钱风险管理策略应当根据洗钱风险状况及市场变化及时进行调整。</w:t>
      </w:r>
    </w:p>
    <w:p w14:paraId="4D9AC12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第二十七条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在建设全面风险管理文化、制定全面风险管理策略、制定全面风险管理政策和程序时统筹考虑洗钱风险管理，将洗钱风险纳入全面风险管理体系。洗钱风险管理策略应当与其全面风险管理策略相适应。</w:t>
      </w:r>
    </w:p>
    <w:p w14:paraId="44EFC948"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第二十八条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按照风险为本方法制定洗钱风险管理策略，在识别和评估洗钱风险的基础上，针对风险较低的情形，采取简化的风险控制措施；针对风险较高的情形，采取强化的风险控制措施；超出机构风险控制能力的，不得与客户建立业务关系或进行交易，已经建立业务关系的，应当中止交易并考虑提交可疑交易报告，必要时终止业务关系。</w:t>
      </w:r>
    </w:p>
    <w:p w14:paraId="3E09B52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第二十九条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积极开展普惠金融工作，根据本机构业务实际、客户的群体属性、洗钱风险评估结果和监管部门的要求，在有效管理洗钱风险的基础上，采取合理的客户身份识别措施，为社会不同群体提供差异化、有针对性的金融服务。</w:t>
      </w:r>
    </w:p>
    <w:p w14:paraId="1576BB5C" w14:textId="77777777" w:rsidR="00713652" w:rsidRPr="00DA57BA" w:rsidRDefault="00713652" w:rsidP="00AF58A9">
      <w:pPr>
        <w:widowControl/>
        <w:spacing w:before="100" w:beforeAutospacing="1" w:after="100" w:afterAutospacing="1" w:line="360" w:lineRule="auto"/>
        <w:ind w:firstLineChars="200" w:firstLine="460"/>
        <w:jc w:val="center"/>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第四章</w:t>
      </w:r>
      <w:r w:rsidRPr="00DA57BA">
        <w:rPr>
          <w:rFonts w:ascii="simsun" w:eastAsia="宋体" w:hAnsi="simsun" w:cs="宋体"/>
          <w:color w:val="464646"/>
          <w:kern w:val="0"/>
          <w:szCs w:val="21"/>
        </w:rPr>
        <w:t xml:space="preserve"> </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风险管理政策和程序</w:t>
      </w:r>
      <w:r w:rsidR="00AF58A9" w:rsidRPr="00DA57BA">
        <w:rPr>
          <w:rFonts w:ascii="宋体" w:eastAsia="宋体" w:hAnsi="宋体" w:cs="宋体" w:hint="eastAsia"/>
          <w:color w:val="464646"/>
          <w:kern w:val="0"/>
          <w:sz w:val="23"/>
          <w:szCs w:val="23"/>
        </w:rPr>
        <w:t>——</w:t>
      </w:r>
      <w:r w:rsidRPr="00DA57BA">
        <w:rPr>
          <w:rFonts w:ascii="宋体" w:eastAsia="宋体" w:hAnsi="宋体" w:cs="宋体" w:hint="eastAsia"/>
          <w:color w:val="464646"/>
          <w:kern w:val="0"/>
          <w:sz w:val="23"/>
          <w:szCs w:val="23"/>
        </w:rPr>
        <w:t>方法</w:t>
      </w:r>
    </w:p>
    <w:p w14:paraId="06FE8261"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第三十条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法人金融机构应当制定洗钱风险管理政策和程序，包括但不限于反洗钱内部控制制度（含流程、操作指引）；洗钱风险管理的方法；应急计划；反洗钱措施；信息保密和信息共享。</w:t>
      </w:r>
    </w:p>
    <w:p w14:paraId="6CDC816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第三十一条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法人金融机构应当建立健全反洗钱内部控制制度，加强统一管理，规范制度制定和审批程序，明确发文种类、层级和对象。</w:t>
      </w:r>
    </w:p>
    <w:p w14:paraId="625E29A8"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反洗钱内部控制制度应当全面覆盖反洗钱法律法规和监管要求，并与本机构业务实际相适应。在反洗钱法律法规、监管要求或业务发展情况发生变化时，法人金融机构应当及时更新反洗钱内部控制制度。</w:t>
      </w:r>
    </w:p>
    <w:p w14:paraId="517103F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第三十二条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洗钱风险识别与评估是有效的洗钱风险管理的基础。法人金融机构应当建立洗钱风险评估制度，对本机构内外部洗钱风险进行分析研判，评估本机构风险控制机制的有效性，查找风险漏洞和薄弱环节，有效运用评估结果，合理配置反洗钱资源，采取有针对性的风险控制措施。</w:t>
      </w:r>
    </w:p>
    <w:p w14:paraId="77B3320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评估结果的运用包括但不限于以下方面</w:t>
      </w:r>
      <w:r w:rsidRPr="00DA57BA">
        <w:rPr>
          <w:rFonts w:ascii="simsun" w:eastAsia="宋体" w:hAnsi="simsun" w:cs="宋体"/>
          <w:color w:val="464646"/>
          <w:kern w:val="0"/>
          <w:sz w:val="23"/>
          <w:szCs w:val="23"/>
        </w:rPr>
        <w:t>:</w:t>
      </w:r>
      <w:r w:rsidRPr="00DA57BA">
        <w:rPr>
          <w:rFonts w:ascii="宋体" w:eastAsia="宋体" w:hAnsi="宋体" w:cs="宋体" w:hint="eastAsia"/>
          <w:color w:val="464646"/>
          <w:kern w:val="0"/>
          <w:sz w:val="23"/>
          <w:szCs w:val="23"/>
        </w:rPr>
        <w:t>调整经营策略、发布风险提示、完善制度流程、增强资源投入、加强账户管理和交易监测、强化名单监控、严格内部检查和审计等。</w:t>
      </w:r>
    </w:p>
    <w:p w14:paraId="309392C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法人金融机构应当确保洗钱风险评估的流程具有可稽核性或可追溯性，并对洗钱风险评估的流程和方法进行定期审查和调整。</w:t>
      </w:r>
    </w:p>
    <w:p w14:paraId="2871F053"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法人金融机构可以在充分论证可行性的基础上委托独立第三方开展风险评估。</w:t>
      </w:r>
    </w:p>
    <w:p w14:paraId="361D5D7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第三十三条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法人金融机构在广泛收集信息的基础上，采取定性与定量分析相结合的方法，建立洗钱风险评估指标体系和模型对洗钱风险进行识别和评估。</w:t>
      </w:r>
    </w:p>
    <w:p w14:paraId="1F96A839"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第三十四条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法人金融机构应当根据风险评估需要，统筹确定各类信息的来源及其采集方法。信息来源应当考虑国家、行业、客户、地域、机构等方面，包括但不限于以下来源</w:t>
      </w:r>
      <w:r w:rsidRPr="00DA57BA">
        <w:rPr>
          <w:rFonts w:ascii="simsun" w:eastAsia="宋体" w:hAnsi="simsun" w:cs="宋体"/>
          <w:color w:val="464646"/>
          <w:kern w:val="0"/>
          <w:sz w:val="23"/>
          <w:szCs w:val="23"/>
        </w:rPr>
        <w:t>:</w:t>
      </w:r>
    </w:p>
    <w:p w14:paraId="71C042F5"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（一）金融行动特别工作组（</w:t>
      </w:r>
      <w:r w:rsidRPr="00DA57BA">
        <w:rPr>
          <w:rFonts w:ascii="simsun" w:eastAsia="宋体" w:hAnsi="simsun" w:cs="宋体"/>
          <w:color w:val="464646"/>
          <w:kern w:val="0"/>
          <w:sz w:val="23"/>
          <w:szCs w:val="23"/>
        </w:rPr>
        <w:t>FATF</w:t>
      </w:r>
      <w:r w:rsidRPr="00DA57BA">
        <w:rPr>
          <w:rFonts w:ascii="宋体" w:eastAsia="宋体" w:hAnsi="宋体" w:cs="宋体" w:hint="eastAsia"/>
          <w:color w:val="464646"/>
          <w:kern w:val="0"/>
          <w:sz w:val="23"/>
          <w:szCs w:val="23"/>
        </w:rPr>
        <w:t>）、亚太反洗钱组织（</w:t>
      </w:r>
      <w:r w:rsidRPr="00DA57BA">
        <w:rPr>
          <w:rFonts w:ascii="simsun" w:eastAsia="宋体" w:hAnsi="simsun" w:cs="宋体"/>
          <w:color w:val="464646"/>
          <w:kern w:val="0"/>
          <w:sz w:val="23"/>
          <w:szCs w:val="23"/>
        </w:rPr>
        <w:t>APG</w:t>
      </w:r>
      <w:r w:rsidRPr="00DA57BA">
        <w:rPr>
          <w:rFonts w:ascii="宋体" w:eastAsia="宋体" w:hAnsi="宋体" w:cs="宋体" w:hint="eastAsia"/>
          <w:color w:val="464646"/>
          <w:kern w:val="0"/>
          <w:sz w:val="23"/>
          <w:szCs w:val="23"/>
        </w:rPr>
        <w:t>）、欧亚反洗钱与反恐融资组织（</w:t>
      </w:r>
      <w:r w:rsidRPr="00DA57BA">
        <w:rPr>
          <w:rFonts w:ascii="simsun" w:eastAsia="宋体" w:hAnsi="simsun" w:cs="宋体"/>
          <w:color w:val="464646"/>
          <w:kern w:val="0"/>
          <w:sz w:val="23"/>
          <w:szCs w:val="23"/>
        </w:rPr>
        <w:t>EAG</w:t>
      </w:r>
      <w:r w:rsidRPr="00DA57BA">
        <w:rPr>
          <w:rFonts w:ascii="宋体" w:eastAsia="宋体" w:hAnsi="宋体" w:cs="宋体" w:hint="eastAsia"/>
          <w:color w:val="464646"/>
          <w:kern w:val="0"/>
          <w:sz w:val="23"/>
          <w:szCs w:val="23"/>
        </w:rPr>
        <w:t>）、巴塞尔银行监管委员会（</w:t>
      </w:r>
      <w:r w:rsidRPr="00DA57BA">
        <w:rPr>
          <w:rFonts w:ascii="simsun" w:eastAsia="宋体" w:hAnsi="simsun" w:cs="宋体"/>
          <w:color w:val="464646"/>
          <w:kern w:val="0"/>
          <w:sz w:val="23"/>
          <w:szCs w:val="23"/>
        </w:rPr>
        <w:t>BIS</w:t>
      </w:r>
      <w:r w:rsidRPr="00DA57BA">
        <w:rPr>
          <w:rFonts w:ascii="宋体" w:eastAsia="宋体" w:hAnsi="宋体" w:cs="宋体" w:hint="eastAsia"/>
          <w:color w:val="464646"/>
          <w:kern w:val="0"/>
          <w:sz w:val="23"/>
          <w:szCs w:val="23"/>
        </w:rPr>
        <w:t>）、国际证券监管委员会组织（</w:t>
      </w:r>
      <w:r w:rsidRPr="00DA57BA">
        <w:rPr>
          <w:rFonts w:ascii="simsun" w:eastAsia="宋体" w:hAnsi="simsun" w:cs="宋体"/>
          <w:color w:val="464646"/>
          <w:kern w:val="0"/>
          <w:sz w:val="23"/>
          <w:szCs w:val="23"/>
        </w:rPr>
        <w:t>IOSCO</w:t>
      </w:r>
      <w:r w:rsidRPr="00DA57BA">
        <w:rPr>
          <w:rFonts w:ascii="宋体" w:eastAsia="宋体" w:hAnsi="宋体" w:cs="宋体" w:hint="eastAsia"/>
          <w:color w:val="464646"/>
          <w:kern w:val="0"/>
          <w:sz w:val="23"/>
          <w:szCs w:val="23"/>
        </w:rPr>
        <w:t>）、国际保险监督官协会（</w:t>
      </w:r>
      <w:r w:rsidRPr="00DA57BA">
        <w:rPr>
          <w:rFonts w:ascii="simsun" w:eastAsia="宋体" w:hAnsi="simsun" w:cs="宋体"/>
          <w:color w:val="464646"/>
          <w:kern w:val="0"/>
          <w:sz w:val="23"/>
          <w:szCs w:val="23"/>
        </w:rPr>
        <w:t>IAIS</w:t>
      </w:r>
      <w:r w:rsidRPr="00DA57BA">
        <w:rPr>
          <w:rFonts w:ascii="宋体" w:eastAsia="宋体" w:hAnsi="宋体" w:cs="宋体" w:hint="eastAsia"/>
          <w:color w:val="464646"/>
          <w:kern w:val="0"/>
          <w:sz w:val="23"/>
          <w:szCs w:val="23"/>
        </w:rPr>
        <w:t>）等国际组织、国家和行业的风险评估报告、研究成果、形势分析、工作数据等</w:t>
      </w:r>
    </w:p>
    <w:p w14:paraId="77D5B04E"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（二）国家相关部门通报的上游犯罪形势、案例或监管信息；</w:t>
      </w:r>
    </w:p>
    <w:p w14:paraId="5BD9918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（三）中国人民银行、银保监会、证监会、外汇局等金融监管部门发布的洗钱风险提示和业务风险提示；</w:t>
      </w:r>
    </w:p>
    <w:p w14:paraId="44B1B9B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（四）在与客户建立业务关系时和业务关系存续期间，客户披露的信息、客户经理或柜面人员工作记录、保存的交易记录、委托其他金融机构或第三方对客户进行尽职调查工作所获取的合法信息；</w:t>
      </w:r>
    </w:p>
    <w:p w14:paraId="712FA0F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（五）内部管理或业务流程中获取的信息，包括内部审计结果。</w:t>
      </w:r>
    </w:p>
    <w:p w14:paraId="4B3EEFA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法人金融机构应当将信息采集嵌入相应业务流程，由各业务条线工作人员依据岗位职责、权限设置等开展信息采集。必要时通过问卷调查等方式，开展针对性的信息采集。</w:t>
      </w:r>
    </w:p>
    <w:p w14:paraId="487BF3D7"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第三十五条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法人金融机构应当从国家</w:t>
      </w:r>
      <w:r w:rsidRPr="00DA57BA">
        <w:rPr>
          <w:rFonts w:ascii="simsun" w:eastAsia="宋体" w:hAnsi="simsun" w:cs="宋体"/>
          <w:color w:val="464646"/>
          <w:kern w:val="0"/>
          <w:sz w:val="23"/>
          <w:szCs w:val="23"/>
        </w:rPr>
        <w:t>/</w:t>
      </w:r>
      <w:r w:rsidRPr="00DA57BA">
        <w:rPr>
          <w:rFonts w:ascii="宋体" w:eastAsia="宋体" w:hAnsi="宋体" w:cs="宋体" w:hint="eastAsia"/>
          <w:color w:val="464646"/>
          <w:kern w:val="0"/>
          <w:sz w:val="23"/>
          <w:szCs w:val="23"/>
        </w:rPr>
        <w:t>地域、客户及业务（含产品、服务）等维度进行综合考虑，确立风险因素，设置风险评估指标。</w:t>
      </w:r>
    </w:p>
    <w:p w14:paraId="56465EB7" w14:textId="77777777" w:rsidR="00713652" w:rsidRPr="00DA57BA" w:rsidRDefault="00713652" w:rsidP="004077F8">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国家</w:t>
      </w:r>
      <w:r w:rsidRPr="00DA57BA">
        <w:rPr>
          <w:rFonts w:ascii="宋体" w:eastAsia="宋体" w:hAnsi="宋体" w:cs="宋体"/>
          <w:color w:val="464646"/>
          <w:kern w:val="0"/>
          <w:sz w:val="23"/>
          <w:szCs w:val="23"/>
        </w:rPr>
        <w:t>/</w:t>
      </w:r>
      <w:r w:rsidRPr="00DA57BA">
        <w:rPr>
          <w:rFonts w:ascii="宋体" w:eastAsia="宋体" w:hAnsi="宋体" w:cs="宋体" w:hint="eastAsia"/>
          <w:color w:val="464646"/>
          <w:kern w:val="0"/>
          <w:sz w:val="23"/>
          <w:szCs w:val="23"/>
        </w:rPr>
        <w:t>地域风险因素应当考虑</w:t>
      </w:r>
      <w:r w:rsidRPr="00DA57BA">
        <w:rPr>
          <w:rFonts w:ascii="simsun" w:eastAsia="宋体" w:hAnsi="simsun" w:cs="宋体"/>
          <w:color w:val="464646"/>
          <w:kern w:val="0"/>
          <w:sz w:val="23"/>
          <w:szCs w:val="23"/>
        </w:rPr>
        <w:t>:1.</w:t>
      </w:r>
      <w:r w:rsidRPr="00DA57BA">
        <w:rPr>
          <w:rFonts w:ascii="宋体" w:eastAsia="宋体" w:hAnsi="宋体" w:cs="宋体" w:hint="eastAsia"/>
          <w:color w:val="464646"/>
          <w:kern w:val="0"/>
          <w:sz w:val="23"/>
          <w:szCs w:val="23"/>
        </w:rPr>
        <w:t>在高风险国家（地区）设立境外分支机构情况；</w:t>
      </w:r>
      <w:r w:rsidRPr="00DA57BA">
        <w:rPr>
          <w:rFonts w:ascii="simsun" w:eastAsia="宋体" w:hAnsi="simsun" w:cs="宋体"/>
          <w:color w:val="464646"/>
          <w:kern w:val="0"/>
          <w:sz w:val="23"/>
          <w:szCs w:val="23"/>
        </w:rPr>
        <w:t>2.</w:t>
      </w:r>
      <w:r w:rsidRPr="00DA57BA">
        <w:rPr>
          <w:rFonts w:ascii="宋体" w:eastAsia="宋体" w:hAnsi="宋体" w:cs="宋体" w:hint="eastAsia"/>
          <w:color w:val="464646"/>
          <w:kern w:val="0"/>
          <w:sz w:val="23"/>
          <w:szCs w:val="23"/>
        </w:rPr>
        <w:t>交易对手或对方金融机构涉及高风险国家（地区）情况；</w:t>
      </w:r>
      <w:r w:rsidRPr="00DA57BA">
        <w:rPr>
          <w:rFonts w:ascii="simsun" w:eastAsia="宋体" w:hAnsi="simsun" w:cs="宋体"/>
          <w:color w:val="464646"/>
          <w:kern w:val="0"/>
          <w:sz w:val="23"/>
          <w:szCs w:val="23"/>
        </w:rPr>
        <w:t>3.</w:t>
      </w:r>
      <w:r w:rsidRPr="00DA57BA">
        <w:rPr>
          <w:rFonts w:ascii="宋体" w:eastAsia="宋体" w:hAnsi="宋体" w:cs="宋体" w:hint="eastAsia"/>
          <w:color w:val="464646"/>
          <w:kern w:val="0"/>
          <w:sz w:val="23"/>
          <w:szCs w:val="23"/>
        </w:rPr>
        <w:t>境外分支机构数量及地域分布情况；</w:t>
      </w:r>
      <w:r w:rsidRPr="00DA57BA">
        <w:rPr>
          <w:rFonts w:ascii="simsun" w:eastAsia="宋体" w:hAnsi="simsun" w:cs="宋体"/>
          <w:color w:val="464646"/>
          <w:kern w:val="0"/>
          <w:sz w:val="23"/>
          <w:szCs w:val="23"/>
        </w:rPr>
        <w:t>4.</w:t>
      </w:r>
      <w:r w:rsidRPr="00DA57BA">
        <w:rPr>
          <w:rFonts w:ascii="宋体" w:eastAsia="宋体" w:hAnsi="宋体" w:cs="宋体" w:hint="eastAsia"/>
          <w:color w:val="464646"/>
          <w:kern w:val="0"/>
          <w:sz w:val="23"/>
          <w:szCs w:val="23"/>
        </w:rPr>
        <w:t>高风险国家（地区）经营收入占比等。</w:t>
      </w:r>
    </w:p>
    <w:p w14:paraId="64AC63A0" w14:textId="77777777" w:rsidR="00713652" w:rsidRPr="00DA57BA" w:rsidRDefault="00713652" w:rsidP="004077F8">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客户风险因素应当考虑</w:t>
      </w:r>
      <w:r w:rsidRPr="00DA57BA">
        <w:rPr>
          <w:rFonts w:ascii="simsun" w:eastAsia="宋体" w:hAnsi="simsun" w:cs="宋体"/>
          <w:color w:val="464646"/>
          <w:kern w:val="0"/>
          <w:sz w:val="23"/>
          <w:szCs w:val="23"/>
        </w:rPr>
        <w:t>:1.</w:t>
      </w:r>
      <w:r w:rsidRPr="00DA57BA">
        <w:rPr>
          <w:rFonts w:ascii="宋体" w:eastAsia="宋体" w:hAnsi="宋体" w:cs="宋体" w:hint="eastAsia"/>
          <w:color w:val="464646"/>
          <w:kern w:val="0"/>
          <w:sz w:val="23"/>
          <w:szCs w:val="23"/>
        </w:rPr>
        <w:t>非居民客户数量占比；</w:t>
      </w:r>
      <w:r w:rsidRPr="00DA57BA">
        <w:rPr>
          <w:rFonts w:ascii="simsun" w:eastAsia="宋体" w:hAnsi="simsun" w:cs="宋体"/>
          <w:color w:val="464646"/>
          <w:kern w:val="0"/>
          <w:sz w:val="23"/>
          <w:szCs w:val="23"/>
        </w:rPr>
        <w:t>2.</w:t>
      </w:r>
      <w:r w:rsidRPr="00DA57BA">
        <w:rPr>
          <w:rFonts w:ascii="宋体" w:eastAsia="宋体" w:hAnsi="宋体" w:cs="宋体" w:hint="eastAsia"/>
          <w:color w:val="464646"/>
          <w:kern w:val="0"/>
          <w:sz w:val="23"/>
          <w:szCs w:val="23"/>
        </w:rPr>
        <w:t>离岸客户数量占比；</w:t>
      </w:r>
      <w:r w:rsidRPr="00DA57BA">
        <w:rPr>
          <w:rFonts w:ascii="simsun" w:eastAsia="宋体" w:hAnsi="simsun" w:cs="宋体"/>
          <w:color w:val="464646"/>
          <w:kern w:val="0"/>
          <w:sz w:val="23"/>
          <w:szCs w:val="23"/>
        </w:rPr>
        <w:t>3.</w:t>
      </w:r>
      <w:r w:rsidRPr="00DA57BA">
        <w:rPr>
          <w:rFonts w:ascii="宋体" w:eastAsia="宋体" w:hAnsi="宋体" w:cs="宋体" w:hint="eastAsia"/>
          <w:color w:val="464646"/>
          <w:kern w:val="0"/>
          <w:sz w:val="23"/>
          <w:szCs w:val="23"/>
        </w:rPr>
        <w:t>政治公众人物客户数量占比；</w:t>
      </w:r>
      <w:r w:rsidRPr="00DA57BA">
        <w:rPr>
          <w:rFonts w:ascii="simsun" w:eastAsia="宋体" w:hAnsi="simsun" w:cs="宋体"/>
          <w:color w:val="464646"/>
          <w:kern w:val="0"/>
          <w:sz w:val="23"/>
          <w:szCs w:val="23"/>
        </w:rPr>
        <w:t>4.</w:t>
      </w:r>
      <w:r w:rsidRPr="00DA57BA">
        <w:rPr>
          <w:rFonts w:ascii="宋体" w:eastAsia="宋体" w:hAnsi="宋体" w:cs="宋体" w:hint="eastAsia"/>
          <w:color w:val="464646"/>
          <w:kern w:val="0"/>
          <w:sz w:val="23"/>
          <w:szCs w:val="23"/>
        </w:rPr>
        <w:t>使用不可核查证件开户客户数量占比；</w:t>
      </w:r>
      <w:r w:rsidRPr="00DA57BA">
        <w:rPr>
          <w:rFonts w:ascii="simsun" w:eastAsia="宋体" w:hAnsi="simsun" w:cs="宋体"/>
          <w:color w:val="464646"/>
          <w:kern w:val="0"/>
          <w:sz w:val="23"/>
          <w:szCs w:val="23"/>
        </w:rPr>
        <w:t>5.</w:t>
      </w:r>
      <w:r w:rsidRPr="00DA57BA">
        <w:rPr>
          <w:rFonts w:ascii="宋体" w:eastAsia="宋体" w:hAnsi="宋体" w:cs="宋体" w:hint="eastAsia"/>
          <w:color w:val="464646"/>
          <w:kern w:val="0"/>
          <w:sz w:val="23"/>
          <w:szCs w:val="23"/>
        </w:rPr>
        <w:t>职业不明确客户数量占比；</w:t>
      </w:r>
      <w:r w:rsidRPr="00DA57BA">
        <w:rPr>
          <w:rFonts w:ascii="simsun" w:eastAsia="宋体" w:hAnsi="simsun" w:cs="宋体"/>
          <w:color w:val="464646"/>
          <w:kern w:val="0"/>
          <w:sz w:val="23"/>
          <w:szCs w:val="23"/>
        </w:rPr>
        <w:t>6.</w:t>
      </w:r>
      <w:r w:rsidRPr="00DA57BA">
        <w:rPr>
          <w:rFonts w:ascii="宋体" w:eastAsia="宋体" w:hAnsi="宋体" w:cs="宋体" w:hint="eastAsia"/>
          <w:color w:val="464646"/>
          <w:kern w:val="0"/>
          <w:sz w:val="23"/>
          <w:szCs w:val="23"/>
        </w:rPr>
        <w:t>高风险职业（行业）客户数量占比；</w:t>
      </w:r>
      <w:r w:rsidRPr="00DA57BA">
        <w:rPr>
          <w:rFonts w:ascii="simsun" w:eastAsia="宋体" w:hAnsi="simsun" w:cs="宋体"/>
          <w:color w:val="464646"/>
          <w:kern w:val="0"/>
          <w:sz w:val="23"/>
          <w:szCs w:val="23"/>
        </w:rPr>
        <w:t>7.</w:t>
      </w:r>
      <w:r w:rsidRPr="00DA57BA">
        <w:rPr>
          <w:rFonts w:ascii="宋体" w:eastAsia="宋体" w:hAnsi="宋体" w:cs="宋体" w:hint="eastAsia"/>
          <w:color w:val="464646"/>
          <w:kern w:val="0"/>
          <w:sz w:val="23"/>
          <w:szCs w:val="23"/>
        </w:rPr>
        <w:t>由第三方代理建立业务关系客户数量占比；</w:t>
      </w:r>
      <w:r w:rsidRPr="00DA57BA">
        <w:rPr>
          <w:rFonts w:ascii="simsun" w:eastAsia="宋体" w:hAnsi="simsun" w:cs="宋体"/>
          <w:color w:val="464646"/>
          <w:kern w:val="0"/>
          <w:sz w:val="23"/>
          <w:szCs w:val="23"/>
        </w:rPr>
        <w:t>8.</w:t>
      </w:r>
      <w:r w:rsidRPr="00DA57BA">
        <w:rPr>
          <w:rFonts w:ascii="宋体" w:eastAsia="宋体" w:hAnsi="宋体" w:cs="宋体" w:hint="eastAsia"/>
          <w:color w:val="464646"/>
          <w:kern w:val="0"/>
          <w:sz w:val="23"/>
          <w:szCs w:val="23"/>
        </w:rPr>
        <w:t>来自高风险国家（地区）的客户情况；</w:t>
      </w:r>
      <w:r w:rsidRPr="00DA57BA">
        <w:rPr>
          <w:rFonts w:ascii="simsun" w:eastAsia="宋体" w:hAnsi="simsun" w:cs="宋体"/>
          <w:color w:val="464646"/>
          <w:kern w:val="0"/>
          <w:sz w:val="23"/>
          <w:szCs w:val="23"/>
        </w:rPr>
        <w:t>9.</w:t>
      </w:r>
      <w:r w:rsidRPr="00DA57BA">
        <w:rPr>
          <w:rFonts w:ascii="宋体" w:eastAsia="宋体" w:hAnsi="宋体" w:cs="宋体" w:hint="eastAsia"/>
          <w:color w:val="464646"/>
          <w:kern w:val="0"/>
          <w:sz w:val="23"/>
          <w:szCs w:val="23"/>
        </w:rPr>
        <w:t>被国家机关调查的客户情况等。</w:t>
      </w:r>
    </w:p>
    <w:p w14:paraId="4476E676" w14:textId="77777777" w:rsidR="00713652" w:rsidRPr="00DA57BA" w:rsidRDefault="00713652" w:rsidP="004077F8">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业务（含产品、服务）风险因素应当考虑</w:t>
      </w:r>
      <w:r w:rsidRPr="00DA57BA">
        <w:rPr>
          <w:rFonts w:ascii="simsun" w:eastAsia="宋体" w:hAnsi="simsun" w:cs="宋体"/>
          <w:color w:val="464646"/>
          <w:kern w:val="0"/>
          <w:sz w:val="23"/>
          <w:szCs w:val="23"/>
        </w:rPr>
        <w:t>:1.</w:t>
      </w:r>
      <w:r w:rsidRPr="00DA57BA">
        <w:rPr>
          <w:rFonts w:ascii="宋体" w:eastAsia="宋体" w:hAnsi="宋体" w:cs="宋体" w:hint="eastAsia"/>
          <w:color w:val="464646"/>
          <w:kern w:val="0"/>
          <w:sz w:val="23"/>
          <w:szCs w:val="23"/>
        </w:rPr>
        <w:t>现金交易情况；</w:t>
      </w:r>
      <w:r w:rsidRPr="00DA57BA">
        <w:rPr>
          <w:rFonts w:ascii="simsun" w:eastAsia="宋体" w:hAnsi="simsun" w:cs="宋体"/>
          <w:color w:val="464646"/>
          <w:kern w:val="0"/>
          <w:sz w:val="23"/>
          <w:szCs w:val="23"/>
        </w:rPr>
        <w:t>2.</w:t>
      </w:r>
      <w:r w:rsidRPr="00DA57BA">
        <w:rPr>
          <w:rFonts w:ascii="宋体" w:eastAsia="宋体" w:hAnsi="宋体" w:cs="宋体" w:hint="eastAsia"/>
          <w:color w:val="464646"/>
          <w:kern w:val="0"/>
          <w:sz w:val="23"/>
          <w:szCs w:val="23"/>
        </w:rPr>
        <w:t>非面对面交易情况；</w:t>
      </w:r>
      <w:r w:rsidRPr="00DA57BA">
        <w:rPr>
          <w:rFonts w:ascii="simsun" w:eastAsia="宋体" w:hAnsi="simsun" w:cs="宋体"/>
          <w:color w:val="464646"/>
          <w:kern w:val="0"/>
          <w:sz w:val="23"/>
          <w:szCs w:val="23"/>
        </w:rPr>
        <w:t>3.</w:t>
      </w:r>
      <w:r w:rsidRPr="00DA57BA">
        <w:rPr>
          <w:rFonts w:ascii="宋体" w:eastAsia="宋体" w:hAnsi="宋体" w:cs="宋体" w:hint="eastAsia"/>
          <w:color w:val="464646"/>
          <w:kern w:val="0"/>
          <w:sz w:val="23"/>
          <w:szCs w:val="23"/>
        </w:rPr>
        <w:t>跨境交易情况；</w:t>
      </w:r>
      <w:r w:rsidRPr="00DA57BA">
        <w:rPr>
          <w:rFonts w:ascii="simsun" w:eastAsia="宋体" w:hAnsi="simsun" w:cs="宋体"/>
          <w:color w:val="464646"/>
          <w:kern w:val="0"/>
          <w:sz w:val="23"/>
          <w:szCs w:val="23"/>
        </w:rPr>
        <w:t>4.</w:t>
      </w:r>
      <w:r w:rsidRPr="00DA57BA">
        <w:rPr>
          <w:rFonts w:ascii="宋体" w:eastAsia="宋体" w:hAnsi="宋体" w:cs="宋体" w:hint="eastAsia"/>
          <w:color w:val="464646"/>
          <w:kern w:val="0"/>
          <w:sz w:val="23"/>
          <w:szCs w:val="23"/>
        </w:rPr>
        <w:t>代理交易情况；</w:t>
      </w:r>
      <w:r w:rsidRPr="00DA57BA">
        <w:rPr>
          <w:rFonts w:ascii="simsun" w:eastAsia="宋体" w:hAnsi="simsun" w:cs="宋体"/>
          <w:color w:val="464646"/>
          <w:kern w:val="0"/>
          <w:sz w:val="23"/>
          <w:szCs w:val="23"/>
        </w:rPr>
        <w:t>5.</w:t>
      </w:r>
      <w:r w:rsidRPr="00DA57BA">
        <w:rPr>
          <w:rFonts w:ascii="宋体" w:eastAsia="宋体" w:hAnsi="宋体" w:cs="宋体" w:hint="eastAsia"/>
          <w:color w:val="464646"/>
          <w:kern w:val="0"/>
          <w:sz w:val="23"/>
          <w:szCs w:val="23"/>
        </w:rPr>
        <w:t>公转私交易情况；</w:t>
      </w:r>
      <w:r w:rsidRPr="00DA57BA">
        <w:rPr>
          <w:rFonts w:ascii="simsun" w:eastAsia="宋体" w:hAnsi="simsun" w:cs="宋体"/>
          <w:color w:val="464646"/>
          <w:kern w:val="0"/>
          <w:sz w:val="23"/>
          <w:szCs w:val="23"/>
        </w:rPr>
        <w:t>6.</w:t>
      </w:r>
      <w:r w:rsidRPr="00DA57BA">
        <w:rPr>
          <w:rFonts w:ascii="宋体" w:eastAsia="宋体" w:hAnsi="宋体" w:cs="宋体" w:hint="eastAsia"/>
          <w:color w:val="464646"/>
          <w:kern w:val="0"/>
          <w:sz w:val="23"/>
          <w:szCs w:val="23"/>
        </w:rPr>
        <w:t>私人银行业务情况；</w:t>
      </w:r>
      <w:r w:rsidRPr="00DA57BA">
        <w:rPr>
          <w:rFonts w:ascii="simsun" w:eastAsia="宋体" w:hAnsi="simsun" w:cs="宋体"/>
          <w:color w:val="464646"/>
          <w:kern w:val="0"/>
          <w:sz w:val="23"/>
          <w:szCs w:val="23"/>
        </w:rPr>
        <w:t>7.</w:t>
      </w:r>
      <w:r w:rsidRPr="00DA57BA">
        <w:rPr>
          <w:rFonts w:ascii="宋体" w:eastAsia="宋体" w:hAnsi="宋体" w:cs="宋体" w:hint="eastAsia"/>
          <w:color w:val="464646"/>
          <w:kern w:val="0"/>
          <w:sz w:val="23"/>
          <w:szCs w:val="23"/>
        </w:rPr>
        <w:t>特约商户业务情况；</w:t>
      </w:r>
      <w:r w:rsidRPr="00DA57BA">
        <w:rPr>
          <w:rFonts w:ascii="simsun" w:eastAsia="宋体" w:hAnsi="simsun" w:cs="宋体"/>
          <w:color w:val="464646"/>
          <w:kern w:val="0"/>
          <w:sz w:val="23"/>
          <w:szCs w:val="23"/>
        </w:rPr>
        <w:t>8.</w:t>
      </w:r>
      <w:r w:rsidRPr="00DA57BA">
        <w:rPr>
          <w:rFonts w:ascii="宋体" w:eastAsia="宋体" w:hAnsi="宋体" w:cs="宋体" w:hint="eastAsia"/>
          <w:color w:val="464646"/>
          <w:kern w:val="0"/>
          <w:sz w:val="23"/>
          <w:szCs w:val="23"/>
        </w:rPr>
        <w:t>一次性交易情况；</w:t>
      </w:r>
      <w:r w:rsidRPr="00DA57BA">
        <w:rPr>
          <w:rFonts w:ascii="simsun" w:eastAsia="宋体" w:hAnsi="simsun" w:cs="宋体"/>
          <w:color w:val="464646"/>
          <w:kern w:val="0"/>
          <w:sz w:val="23"/>
          <w:szCs w:val="23"/>
        </w:rPr>
        <w:t>9.</w:t>
      </w:r>
      <w:r w:rsidRPr="00DA57BA">
        <w:rPr>
          <w:rFonts w:ascii="宋体" w:eastAsia="宋体" w:hAnsi="宋体" w:cs="宋体" w:hint="eastAsia"/>
          <w:color w:val="464646"/>
          <w:kern w:val="0"/>
          <w:sz w:val="23"/>
          <w:szCs w:val="23"/>
        </w:rPr>
        <w:t>通道类资产管理业务情况；</w:t>
      </w:r>
      <w:r w:rsidRPr="00DA57BA">
        <w:rPr>
          <w:rFonts w:ascii="simsun" w:eastAsia="宋体" w:hAnsi="simsun" w:cs="宋体"/>
          <w:color w:val="464646"/>
          <w:kern w:val="0"/>
          <w:sz w:val="23"/>
          <w:szCs w:val="23"/>
        </w:rPr>
        <w:t>10.</w:t>
      </w:r>
      <w:r w:rsidRPr="00DA57BA">
        <w:rPr>
          <w:rFonts w:ascii="宋体" w:eastAsia="宋体" w:hAnsi="宋体" w:cs="宋体" w:hint="eastAsia"/>
          <w:color w:val="464646"/>
          <w:kern w:val="0"/>
          <w:sz w:val="23"/>
          <w:szCs w:val="23"/>
        </w:rPr>
        <w:t>场外交易情况</w:t>
      </w:r>
      <w:r w:rsidRPr="00DA57BA">
        <w:rPr>
          <w:rFonts w:ascii="simsun" w:eastAsia="宋体" w:hAnsi="simsun" w:cs="宋体"/>
          <w:color w:val="464646"/>
          <w:kern w:val="0"/>
          <w:sz w:val="23"/>
          <w:szCs w:val="23"/>
        </w:rPr>
        <w:t>:11.</w:t>
      </w:r>
      <w:r w:rsidRPr="00DA57BA">
        <w:rPr>
          <w:rFonts w:ascii="宋体" w:eastAsia="宋体" w:hAnsi="宋体" w:cs="宋体" w:hint="eastAsia"/>
          <w:color w:val="464646"/>
          <w:kern w:val="0"/>
          <w:sz w:val="23"/>
          <w:szCs w:val="23"/>
        </w:rPr>
        <w:t>大宗交易情况；</w:t>
      </w:r>
      <w:r w:rsidRPr="00DA57BA">
        <w:rPr>
          <w:rFonts w:ascii="simsun" w:eastAsia="宋体" w:hAnsi="simsun" w:cs="宋体"/>
          <w:color w:val="464646"/>
          <w:kern w:val="0"/>
          <w:sz w:val="23"/>
          <w:szCs w:val="23"/>
        </w:rPr>
        <w:t>12.</w:t>
      </w:r>
      <w:r w:rsidRPr="00DA57BA">
        <w:rPr>
          <w:rFonts w:ascii="宋体" w:eastAsia="宋体" w:hAnsi="宋体" w:cs="宋体" w:hint="eastAsia"/>
          <w:color w:val="464646"/>
          <w:kern w:val="0"/>
          <w:sz w:val="23"/>
          <w:szCs w:val="23"/>
        </w:rPr>
        <w:t>新三板协议转让业务；</w:t>
      </w:r>
      <w:r w:rsidRPr="00DA57BA">
        <w:rPr>
          <w:rFonts w:ascii="simsun" w:eastAsia="宋体" w:hAnsi="simsun" w:cs="宋体"/>
          <w:color w:val="464646"/>
          <w:kern w:val="0"/>
          <w:sz w:val="23"/>
          <w:szCs w:val="23"/>
        </w:rPr>
        <w:t>13.</w:t>
      </w:r>
      <w:r w:rsidRPr="00DA57BA">
        <w:rPr>
          <w:rFonts w:ascii="宋体" w:eastAsia="宋体" w:hAnsi="宋体" w:cs="宋体" w:hint="eastAsia"/>
          <w:color w:val="464646"/>
          <w:kern w:val="0"/>
          <w:sz w:val="23"/>
          <w:szCs w:val="23"/>
        </w:rPr>
        <w:t>场外衍生品业务；</w:t>
      </w:r>
      <w:r w:rsidRPr="00DA57BA">
        <w:rPr>
          <w:rFonts w:ascii="simsun" w:eastAsia="宋体" w:hAnsi="simsun" w:cs="宋体"/>
          <w:color w:val="464646"/>
          <w:kern w:val="0"/>
          <w:sz w:val="23"/>
          <w:szCs w:val="23"/>
        </w:rPr>
        <w:t>14.</w:t>
      </w:r>
      <w:r w:rsidRPr="00DA57BA">
        <w:rPr>
          <w:rFonts w:ascii="宋体" w:eastAsia="宋体" w:hAnsi="宋体" w:cs="宋体" w:hint="eastAsia"/>
          <w:color w:val="464646"/>
          <w:kern w:val="0"/>
          <w:sz w:val="23"/>
          <w:szCs w:val="23"/>
        </w:rPr>
        <w:t>保单贷款业务等。</w:t>
      </w:r>
    </w:p>
    <w:p w14:paraId="207427F1"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法人金融机构应从制度体系、组织架构和洗钱风险管理文化的建设情况、洗钱风险管理策略、风险评估制度和风险控制措施的制定和执行情况等维度进行综合考虑，设置风险控制措施有效性的评估指标。</w:t>
      </w:r>
    </w:p>
    <w:p w14:paraId="232D11A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评估指标的具体比重及分值设置由法人金融机构根据有效的洗钱风险管理需要自主确定。</w:t>
      </w:r>
    </w:p>
    <w:p w14:paraId="130C24D8"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第三十六条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洗钱风险评估包括定期评估和不定期评估。法人金融机构应当根据本机构实际和国家</w:t>
      </w:r>
      <w:r w:rsidRPr="00DA57BA">
        <w:rPr>
          <w:rFonts w:ascii="simsun" w:eastAsia="宋体" w:hAnsi="simsun" w:cs="宋体"/>
          <w:color w:val="464646"/>
          <w:kern w:val="0"/>
          <w:sz w:val="23"/>
          <w:szCs w:val="23"/>
        </w:rPr>
        <w:t>/</w:t>
      </w:r>
      <w:r w:rsidRPr="00DA57BA">
        <w:rPr>
          <w:rFonts w:ascii="宋体" w:eastAsia="宋体" w:hAnsi="宋体" w:cs="宋体" w:hint="eastAsia"/>
          <w:color w:val="464646"/>
          <w:kern w:val="0"/>
          <w:sz w:val="23"/>
          <w:szCs w:val="23"/>
        </w:rPr>
        <w:t>区域洗钱风险评估需要，合理确定定期开展全系统洗钱风险评估的时间、周期或频率。</w:t>
      </w:r>
    </w:p>
    <w:p w14:paraId="53EE23C5" w14:textId="77777777" w:rsidR="00713652" w:rsidRPr="00DA57BA" w:rsidRDefault="00713652" w:rsidP="004077F8">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不定期评估包括对单项业务（含产品、服务）或特定客户的评估，以及在内部控制制度有重大调整、反洗钱监管政策发生重大变化、拓展新的销售或展业渠道、开发新产品或对现有产品使用新技术、拓展新的业务领域、设立新的境外机构、开展重大收购和投资等情况下对全系统或特定领域开展评估。</w:t>
      </w:r>
    </w:p>
    <w:p w14:paraId="71DF2A55"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为有效开展洗钱风险评估工作，法人金融机构应当建立并维护业务（含产品、服务）类型清单和客户种类清单。</w:t>
      </w:r>
    </w:p>
    <w:p w14:paraId="1968030E"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第三十七条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根据洗钱风险评估结果，结合客户身份识别、客户身份资料和交易记录保存、交易监测、大额交易和可疑交易报告、名单监控、资产冻结等反洗钱义务制定风险控制措施，并融入相关业务操作流程，有效控制洗钱风险。</w:t>
      </w:r>
    </w:p>
    <w:p w14:paraId="4649F37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第三十八条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建立内部不同层次的洗钱风险报告制度。境内外分支机构、相关附属机构应当及时向总部反洗钱管理部门报告洗钱风险情况；各业务条线、业务部门应当及时向反洗钱管理部门报告洗钱风险情况，包括风险调整变动情况、风险评估结果等；反洗钱管理部门应当及时向董事会和高级管理层报告洗钱风险情况，包括洗钱风险管理策略、政策、程序、风险评估制度、风险控制措施的制定和执行情况以及洗钱风险事件等。</w:t>
      </w:r>
    </w:p>
    <w:p w14:paraId="1E0D419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第三十九条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制定应急计划，确保能够及时应对和处理重大洗钱风险享件、境内外有关反洗钱监管措施、重大洗钱负面新闻报道等紧急、危机情况，做好舆情监测，避免引发声誉风险。应急计划应当说明可能出现的重大风险情况及应当采取的措施。法人金融机构的应急计划应当涵盖对境内外分支机构和相关附属机构的应急安排。</w:t>
      </w:r>
    </w:p>
    <w:p w14:paraId="7D9939C1"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第四十条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法人金融机构应当通过妥善方式记录开展洗钱风险管理的工作过程，采取必要的管理措施和技术手段保存工作资料，保存方式应当保证洗钱风险管理人员获取相关信息的便捷性。</w:t>
      </w:r>
    </w:p>
    <w:p w14:paraId="7A499865"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第四十一条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健全内部控制机制，按照《中华人民共和国反洗钱法》、《中华人民共和国国家安全法》《中华人民共和国网络安全法》和有关保密规定，严格保护反洗钱工作中获得的信息，非依法律规定，不得向任何单位和个人提供。</w:t>
      </w:r>
    </w:p>
    <w:p w14:paraId="7468617C"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应当建立跨境信息保密保障措施，对于在开展跨境业务、应对跨境监管等过程中所涉的客户、账户和交易信息、可疑交易报告等信息，应当严格控制跨境信息知悉范围和程度，建立完善的内部跨境信息传递体系、风险控制流程和授权审批机制。</w:t>
      </w:r>
    </w:p>
    <w:p w14:paraId="6370C98E"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境外有关部门因反洗钱和反恐怖融资需要要求其提供客户、账户、交易信息及其他相关信息的，法人金融机构应当告知对方通过外交途径、司法协助途径或金融监管合作途径等提出请求不得擅自提供。有关国内司法冻结、司法查询、可疑交易报告、行政机构反洗钱调查等信息不得对外提供。</w:t>
      </w:r>
    </w:p>
    <w:p w14:paraId="78F141F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境外清算代理行因反洗钱和反恐怖融资需要要求提供除汇款信息、单位客户注册信息等以外的客户身份信息、交易背景信息的，法人金融机构应当在获得客户授权同意后提供；客户不同意或未获得客户授权同意的，法人金融机构不得提供。</w:t>
      </w:r>
    </w:p>
    <w:p w14:paraId="5A7DC5A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第四十二条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出于洗钱风险管理需要，法人金融机构应当建立内部信息共享制度和程序，根据信息敏感度及其与洗钱风险管理的相关性确定信息共享的范围和程度，制定适当的信息共享机制，明确信息安全和保密要求，建立健全信息共享保障措施，确保信息的及时、准确、完整传递。</w:t>
      </w:r>
    </w:p>
    <w:p w14:paraId="2615695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法人金融机构反洗钱管理部门、审计部门等部门为履行反洗钱工作职责，有权要求境内外分支机构和相关附属机构提供客户、账户、交易信息及其他与洗钱风险管理相关的信息。</w:t>
      </w:r>
    </w:p>
    <w:p w14:paraId="1E782E17" w14:textId="77777777" w:rsidR="00713652" w:rsidRPr="00DA57BA" w:rsidRDefault="00713652" w:rsidP="00E00C15">
      <w:pPr>
        <w:widowControl/>
        <w:spacing w:before="100" w:beforeAutospacing="1" w:after="100" w:afterAutospacing="1" w:line="360" w:lineRule="auto"/>
        <w:ind w:firstLineChars="200" w:firstLine="460"/>
        <w:jc w:val="center"/>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第五章</w:t>
      </w:r>
      <w:r w:rsidRPr="00DA57BA">
        <w:rPr>
          <w:rFonts w:ascii="simsun" w:eastAsia="宋体" w:hAnsi="simsun" w:cs="宋体"/>
          <w:color w:val="464646"/>
          <w:kern w:val="0"/>
          <w:szCs w:val="21"/>
        </w:rPr>
        <w:t xml:space="preserve"> </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风险管理政策和程序</w:t>
      </w:r>
      <w:r w:rsidRPr="00DA57BA">
        <w:rPr>
          <w:rFonts w:ascii="simsun" w:eastAsia="宋体" w:hAnsi="simsun" w:cs="宋体"/>
          <w:color w:val="464646"/>
          <w:kern w:val="0"/>
          <w:sz w:val="23"/>
          <w:szCs w:val="23"/>
        </w:rPr>
        <w:t>——</w:t>
      </w:r>
      <w:r w:rsidRPr="00DA57BA">
        <w:rPr>
          <w:rFonts w:ascii="宋体" w:eastAsia="宋体" w:hAnsi="宋体" w:cs="宋体" w:hint="eastAsia"/>
          <w:color w:val="464646"/>
          <w:kern w:val="0"/>
          <w:sz w:val="23"/>
          <w:szCs w:val="23"/>
        </w:rPr>
        <w:t>措施</w:t>
      </w:r>
    </w:p>
    <w:p w14:paraId="038CF443"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第四十三条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按照反洗钱法律法规和监管要求所采取的客户身份识别、客户身份资料和交易记录保存、大额交易和可疑交易报告等措施是满足反洗钱合规性要求的最低标准，情节严重的违法行为将受到处罚。为有效管理洗钱风险，法人金融机构应当在此基础上，采取更有针对性、更严格、更有效的措施。</w:t>
      </w:r>
    </w:p>
    <w:p w14:paraId="518361E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第四十四条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法人金融机构应当按照规定建立健全和执行客户身份识别制度，遵循</w:t>
      </w:r>
      <w:r w:rsidRPr="00DA57BA">
        <w:rPr>
          <w:rFonts w:ascii="simsun" w:eastAsia="宋体" w:hAnsi="simsun" w:cs="宋体"/>
          <w:color w:val="464646"/>
          <w:kern w:val="0"/>
          <w:sz w:val="23"/>
          <w:szCs w:val="23"/>
        </w:rPr>
        <w:t>“</w:t>
      </w:r>
      <w:r w:rsidRPr="00DA57BA">
        <w:rPr>
          <w:rFonts w:ascii="宋体" w:eastAsia="宋体" w:hAnsi="宋体" w:cs="宋体" w:hint="eastAsia"/>
          <w:color w:val="464646"/>
          <w:kern w:val="0"/>
          <w:sz w:val="23"/>
          <w:szCs w:val="23"/>
        </w:rPr>
        <w:t>了解你的客户</w:t>
      </w:r>
      <w:r w:rsidRPr="00DA57BA">
        <w:rPr>
          <w:rFonts w:ascii="simsun" w:eastAsia="宋体" w:hAnsi="simsun" w:cs="宋体"/>
          <w:color w:val="464646"/>
          <w:kern w:val="0"/>
          <w:sz w:val="23"/>
          <w:szCs w:val="23"/>
        </w:rPr>
        <w:t>”</w:t>
      </w:r>
      <w:r w:rsidRPr="00DA57BA">
        <w:rPr>
          <w:rFonts w:ascii="宋体" w:eastAsia="宋体" w:hAnsi="宋体" w:cs="宋体" w:hint="eastAsia"/>
          <w:color w:val="464646"/>
          <w:kern w:val="0"/>
          <w:sz w:val="23"/>
          <w:szCs w:val="23"/>
        </w:rPr>
        <w:t>的原则，针对</w:t>
      </w:r>
      <w:r w:rsidR="004077F8" w:rsidRPr="00DA57BA">
        <w:rPr>
          <w:rFonts w:ascii="宋体" w:eastAsia="宋体" w:hAnsi="宋体" w:cs="宋体" w:hint="eastAsia"/>
          <w:color w:val="464646"/>
          <w:kern w:val="0"/>
          <w:sz w:val="23"/>
          <w:szCs w:val="23"/>
        </w:rPr>
        <w:t>具有不同洗钱风险的客户、业务关系或交易，采取相应的控制措施，通</w:t>
      </w:r>
      <w:r w:rsidRPr="00DA57BA">
        <w:rPr>
          <w:rFonts w:ascii="宋体" w:eastAsia="宋体" w:hAnsi="宋体" w:cs="宋体" w:hint="eastAsia"/>
          <w:color w:val="464646"/>
          <w:kern w:val="0"/>
          <w:sz w:val="23"/>
          <w:szCs w:val="23"/>
        </w:rPr>
        <w:t>过可靠和来源独立的证明文件、数据信息和资料核实客户身份了解客户建立、维持业务关系的目的及性质，了解实际控制客户的自然人和交易的实际受益人。</w:t>
      </w:r>
    </w:p>
    <w:p w14:paraId="384F4078"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客户身份识别措施包括但不限于以下方面</w:t>
      </w:r>
      <w:r w:rsidRPr="00DA57BA">
        <w:rPr>
          <w:rFonts w:ascii="simsun" w:eastAsia="宋体" w:hAnsi="simsun" w:cs="宋体"/>
          <w:color w:val="464646"/>
          <w:kern w:val="0"/>
          <w:sz w:val="23"/>
          <w:szCs w:val="23"/>
        </w:rPr>
        <w:t>:</w:t>
      </w:r>
      <w:r w:rsidRPr="00DA57BA">
        <w:rPr>
          <w:rFonts w:ascii="宋体" w:eastAsia="宋体" w:hAnsi="宋体" w:cs="宋体" w:hint="eastAsia"/>
          <w:color w:val="464646"/>
          <w:kern w:val="0"/>
          <w:sz w:val="23"/>
          <w:szCs w:val="23"/>
        </w:rPr>
        <w:t>在建立业务关系时的客户身份识别措施、在业务关系存续期间的持续识别和重新识别措施、非自然人客户受益所有人的识别措施、对特定自然人和特定类别业务的客户身份识别措施以及客户洗钱风险分类管理措施等。</w:t>
      </w:r>
    </w:p>
    <w:p w14:paraId="536910DC"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在建立业务关系时，法人金融机构为不影响正常交易，可以在建立业务关系后完成对客户的身份核实，但应当建立相应的风险管理机制和程序，确保客户洗钱和恐怖融资风险可控。在业务关系存续期间，法人金融机构应详细审查保存的客户资料和交易，及时更新客户身份信息，确保当前进行的交易与客户身份背景相匹配。</w:t>
      </w:r>
    </w:p>
    <w:p w14:paraId="00B8BCE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第四十五条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按照规定建立客户身份资料和交易记录保存制度，强化内部管理措施，更新技术手段，逐步完善相关信息系统，统筹考虑保存范围、方式和期限，确保客户身份信息和交易记录完整准确。法人金融机构应当建立适当的授权机制，明确工作程序，按照规定将客户身份信息和交易记录迅速、便捷、准确地提供给监管机构、执法机构等部门。</w:t>
      </w:r>
    </w:p>
    <w:p w14:paraId="4A3318B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第四十六条</w:t>
      </w:r>
      <w:r w:rsidRPr="00DA57BA">
        <w:rPr>
          <w:rFonts w:ascii="simsun" w:eastAsia="宋体" w:hAnsi="simsun" w:cs="宋体"/>
          <w:color w:val="464646"/>
          <w:kern w:val="0"/>
          <w:szCs w:val="21"/>
        </w:rPr>
        <w:t xml:space="preserve"> </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构建以客户为基本单位的交易监测体系，交易监测范围应当覆盖全部客户和业务领域，包括客户的交易、企图进行的交易及客户身份识别的整个过程。法人金融机构应当根据本行业、本机构反洗钱工作实践和真</w:t>
      </w:r>
      <w:r w:rsidRPr="00DA57BA">
        <w:rPr>
          <w:rFonts w:ascii="宋体" w:eastAsia="宋体" w:hAnsi="宋体" w:cs="宋体" w:hint="eastAsia"/>
          <w:color w:val="464646"/>
          <w:kern w:val="0"/>
          <w:sz w:val="23"/>
          <w:szCs w:val="23"/>
        </w:rPr>
        <w:lastRenderedPageBreak/>
        <w:t>实数据，重点参考本行业发生的洗钱案件及风险信息，结合客户的身份特征、交易特征或行为特征，建立与其面临的洗钱风险相匹配的监测标准，并根据客户、业务（含产品、服务）和洗钱风险变化情况及时调整。</w:t>
      </w:r>
    </w:p>
    <w:p w14:paraId="25474267"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第四十七条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法人金融机构应当建立健全大额交易和可疑交易报告制度，按照规定及时、准确、完整向中国反洗钱监测分析中心或中国人民银行及其分支机构提交大额交易和可疑交易报告。</w:t>
      </w:r>
    </w:p>
    <w:p w14:paraId="39CB314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应当结合实际探索符合本机构特点的可疑交易报告分析处理模式，运用信息系统与人工分析相结合的方式，完整记录可疑交易分析排除或上报的全过程，完善可疑交易报告流程，提高可疑交易报告质量。</w:t>
      </w:r>
    </w:p>
    <w:p w14:paraId="432E2BB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在报送可疑交易报告后，应当根据中国人民银行的相关规定采取相应的后续风险控制措施，包括对可疑交易所涉客户及交易开展持续监控、提升客户风险等级、限制客户交易、拒绝提供服务、终止业务关系、向相关金融监管部门报告、向相关侦查机关报案等。</w:t>
      </w:r>
    </w:p>
    <w:p w14:paraId="5D4ECFE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第四十八条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法人金融机构应当建立反洗钱和反恐怖融资监控名单库，并及时进行更新和维护。监控名单包括但不限于以下内容</w:t>
      </w:r>
      <w:r w:rsidRPr="00DA57BA">
        <w:rPr>
          <w:rFonts w:ascii="simsun" w:eastAsia="宋体" w:hAnsi="simsun" w:cs="宋体"/>
          <w:color w:val="464646"/>
          <w:kern w:val="0"/>
          <w:sz w:val="23"/>
          <w:szCs w:val="23"/>
        </w:rPr>
        <w:t>:</w:t>
      </w:r>
    </w:p>
    <w:p w14:paraId="338BEB3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（一）公安部等我国有权部门发布的恐怖活动组织及恐怖活动人员名单；</w:t>
      </w:r>
    </w:p>
    <w:p w14:paraId="19CBDD0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（二）联合国发布的且得到我国承认的制裁决议名单；</w:t>
      </w:r>
    </w:p>
    <w:p w14:paraId="3CEAF79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（三）其他国际组织、其他国家（地区）发布的且得到我国承认的反洗钱和反恐怖融资监控名单；</w:t>
      </w:r>
    </w:p>
    <w:p w14:paraId="1D2814A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（四）中国人民银行要求关注的其他反洗钱和反恐怖融资监控名单；</w:t>
      </w:r>
    </w:p>
    <w:p w14:paraId="25ABF247"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（五）洗钱风险管理工作中发现的其他需要监测关注的组织或人员名单。</w:t>
      </w:r>
    </w:p>
    <w:p w14:paraId="507A517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第四十九条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法人金融机构应当对监控名单开展实时监测涉及资金交易的应当在资金交易完成前开展监测，不涉及资金交易的应当在办理相关业务后尽快开展监</w:t>
      </w:r>
      <w:r w:rsidRPr="00DA57BA">
        <w:rPr>
          <w:rFonts w:ascii="宋体" w:eastAsia="宋体" w:hAnsi="宋体" w:cs="宋体" w:hint="eastAsia"/>
          <w:color w:val="464646"/>
          <w:kern w:val="0"/>
          <w:sz w:val="23"/>
          <w:szCs w:val="23"/>
        </w:rPr>
        <w:lastRenderedPageBreak/>
        <w:t>测。在名单调整时，法人金融机构应当立即对存量客户以及上溯三年内的交易开展回溯性调查，并按规定提交可疑交易报告。</w:t>
      </w:r>
    </w:p>
    <w:p w14:paraId="7F93A9C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法人金融机构在洗钱风险管理工作中发现的其他需要监测关注的组织或人员名单，可以根据洗钱风险管理需要自主决定是否开展实时监测和回溯性调查。</w:t>
      </w:r>
    </w:p>
    <w:p w14:paraId="5EE6156E"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实时监测和回溯性调查应当运用信息系统与人工分析相结合的方式，通过信息系统实现监控名单精准匹配的自动识别工作，或先通过信息系统实现监控名单模糊匹配的初步筛查，再通过人工分析完成监控名单模糊匹配的最终识别工作。交易的回溯性调查可以采取信息系统实时筛查与后台数据库检索查询相结合的方式开展。</w:t>
      </w:r>
    </w:p>
    <w:p w14:paraId="3BD115D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第五十条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有合理理由怀疑客户或其交易对手、资金或其他资产与监控名单相关的，应当按照规定立即提交可疑交易报告。客户与监控名单匹配的，应当立即采取相应措施并于当日将有关情况报告中国人民银行和其他相关部门。具体措施包括但不限于停止金融账户的开立、变更、撤销和使用，暂停金融交易，拒绝转移、转换金融资产，停止提供出口信贷、担保、保险等金融服务，依法冻结账户资产。暂时无法准确判断客户与监控名单是否相匹配的，法人金融机构应当按照风险管理原则，采取相应的风险控制措施并进行持续交易监控。</w:t>
      </w:r>
    </w:p>
    <w:p w14:paraId="5F3EF29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第五十一条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法人金融机构应当有效识别高风险业务（含产品、服务），并对其进行定期评估、动态调整。</w:t>
      </w:r>
    </w:p>
    <w:p w14:paraId="0CEDEB92"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对于高风险业务（含产品、服务），如建立账户代理行关系、提供资金或价值转移服务、办理电汇业务等，法人金融机构应按照相关法律法规的要求，开展进一步的强化尽职调查措施，并结合高风险业务（含产品、服务）典型风险特征及时发布风险提示。</w:t>
      </w:r>
    </w:p>
    <w:p w14:paraId="1E72E98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第五十二条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制定并执行清晰的客户接纳政策和程序，明确禁止建立业务关系的客户范围，有效识别高风险客户或高风险账户，并对其进行定期评估、动态调整。对于高风险客户或高风险账户持有人，包括客户属于政治公众人物、国际组织高级管理人员及其特定关系人或来自高风险国家（地区）的，法人金融机构应当在客户身份识别要求的基础上采取强化措施，包括但不限于进一步获</w:t>
      </w:r>
      <w:r w:rsidRPr="00DA57BA">
        <w:rPr>
          <w:rFonts w:ascii="宋体" w:eastAsia="宋体" w:hAnsi="宋体" w:cs="宋体" w:hint="eastAsia"/>
          <w:color w:val="464646"/>
          <w:kern w:val="0"/>
          <w:sz w:val="23"/>
          <w:szCs w:val="23"/>
        </w:rPr>
        <w:lastRenderedPageBreak/>
        <w:t>取客户及其受益所有人身份信息，适当提高信息的收集或更新频率，深入了解客户经营活动状况、财产或资金来源，询问与核实交易的目的和动机，适度提高交易监测的频率及强度，提高审批层级等</w:t>
      </w:r>
      <w:bookmarkStart w:id="0" w:name="_GoBack"/>
      <w:bookmarkEnd w:id="0"/>
      <w:r w:rsidRPr="00DA57BA">
        <w:rPr>
          <w:rFonts w:ascii="宋体" w:eastAsia="宋体" w:hAnsi="宋体" w:cs="宋体" w:hint="eastAsia"/>
          <w:color w:val="464646"/>
          <w:kern w:val="0"/>
          <w:sz w:val="23"/>
          <w:szCs w:val="23"/>
        </w:rPr>
        <w:t>，并加强对其金融交易活动的跟踪监测和分析排查。</w:t>
      </w:r>
    </w:p>
    <w:p w14:paraId="397691D3" w14:textId="77777777" w:rsidR="00713652" w:rsidRPr="00DA57BA" w:rsidRDefault="00713652" w:rsidP="00E00C15">
      <w:pPr>
        <w:widowControl/>
        <w:spacing w:before="100" w:beforeAutospacing="1" w:after="100" w:afterAutospacing="1" w:line="360" w:lineRule="auto"/>
        <w:ind w:firstLineChars="200" w:firstLine="460"/>
        <w:jc w:val="center"/>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第六章</w:t>
      </w:r>
      <w:r w:rsidRPr="00DA57BA">
        <w:rPr>
          <w:rFonts w:ascii="simsun" w:eastAsia="宋体" w:hAnsi="simsun" w:cs="宋体"/>
          <w:color w:val="464646"/>
          <w:kern w:val="0"/>
          <w:szCs w:val="21"/>
        </w:rPr>
        <w:t xml:space="preserve"> </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信息系统和反洗钱数据、信息</w:t>
      </w:r>
    </w:p>
    <w:p w14:paraId="14C5300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第五十三条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建立完善以客户为单位，覆盖所有业务（含产品、服务）和客户的反洗钱信息系统，及时、准确、完整采集和记录洗钱风险管理所需信息，对洗钱风险进行识别、评估、监测和报告，并根据洗钱风险管理需要持续优化升级系统。</w:t>
      </w:r>
    </w:p>
    <w:p w14:paraId="6BD17235"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第五十四条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反洗钱信息系统及相关系统应当包括但不限于以下主要功能，以支持洗钱风险管理的需要。</w:t>
      </w:r>
    </w:p>
    <w:p w14:paraId="5D175563"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（一）支持洗钱风险评估，包括业务洗钱风险评估和客户洗钱风险分类管理；</w:t>
      </w:r>
    </w:p>
    <w:p w14:paraId="633393C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（二）支持客户身份识别、客户身份资料及交易记录等反洗钱信息的登记、保存、查询和使用；</w:t>
      </w:r>
    </w:p>
    <w:p w14:paraId="4CB9FB5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（三）支持反洗钱交易监测和分析；</w:t>
      </w:r>
    </w:p>
    <w:p w14:paraId="15EBE03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（四）支持大额交易和可疑交易报告；</w:t>
      </w:r>
    </w:p>
    <w:p w14:paraId="150687BD"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（五）支持名单实时监控和回溯性调查；</w:t>
      </w:r>
    </w:p>
    <w:p w14:paraId="36920FA3"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（六）支持反洗钱监管和反洗钱调查。</w:t>
      </w:r>
    </w:p>
    <w:p w14:paraId="1C6EBFF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第五十五条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在保密原则基础上，法人金融机构应当根据工作职责合理配置本机构各业务条线、各境内外分支机构和相关附属机构、各岗位的信息系统使用权限，确保各级人员有效获取洗钱风险管理所需信息，满足实际工作需要。</w:t>
      </w:r>
    </w:p>
    <w:p w14:paraId="5FC7928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第五十六条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加强数据治理，建立健全数据质量控制机制，积累真实、准确、连续、完整的内外部数据，用于洗钱风险识别、评估、监测和报告。反洗钱数据的存储和使用应当符合数据安全标准、满足保密管理要求。</w:t>
      </w:r>
    </w:p>
    <w:p w14:paraId="064DA53B"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法人金融机构不得违反规定设置信息壁垒，阻止或影响其他法人金融机构正常获取开展反洗钱工作所必需的信息和数据。</w:t>
      </w:r>
    </w:p>
    <w:p w14:paraId="6BC88DE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第七章</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内部检查、审计、绩效考核和奖惩机制</w:t>
      </w:r>
    </w:p>
    <w:p w14:paraId="07F84C48"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第五十七条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对业务部门、境内外分支机构、相关附属机构开展定期或不定期的反洗钱工作检查，对检查结果进行分析，对发现的问题进行积极整改。检查结果与业务部门、境内外分支机构、相关附属机构绩效考核和管理授权挂钩。</w:t>
      </w:r>
    </w:p>
    <w:p w14:paraId="5B9321B9"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第五十八条</w:t>
      </w:r>
      <w:r w:rsidRPr="00DA57BA">
        <w:rPr>
          <w:rFonts w:ascii="simsun" w:eastAsia="宋体" w:hAnsi="simsun" w:cs="宋体"/>
          <w:color w:val="464646"/>
          <w:kern w:val="0"/>
          <w:sz w:val="23"/>
          <w:szCs w:val="23"/>
        </w:rPr>
        <w:t>  </w:t>
      </w:r>
      <w:r w:rsidRPr="00DA57BA">
        <w:rPr>
          <w:rFonts w:ascii="宋体" w:eastAsia="宋体" w:hAnsi="宋体" w:cs="宋体" w:hint="eastAsia"/>
          <w:color w:val="464646"/>
          <w:kern w:val="0"/>
          <w:sz w:val="23"/>
          <w:szCs w:val="23"/>
        </w:rPr>
        <w:t>法人金融机构应当通过内部审计开展洗钱风险管理的审计评价，检查和评价洗钱风险管理的合规性和有效性，确保各项业务自身管理与其洗钱风险管理工作相匹配，反洗钱内部控制有效。审计范围、方法和频率应当与洗钱风险状况相适应。反洗钱内部审计可以是专项审计或与其他审计项目结合进行。</w:t>
      </w:r>
    </w:p>
    <w:p w14:paraId="36819F8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法人金融机构应当确保反洗钱内部审计活动独立于业务经营、风险管理和合规管理，遵循独立性、客观性原则，不断提升内部审计人员的专业能力和职业操守。</w:t>
      </w:r>
    </w:p>
    <w:p w14:paraId="25D2F343"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反洗钱内部审计报告应当提交董事会或其授权的专门委员会。董事会或其授权的专门委员会应当针对内部审计发现的问题，督促高级管理层及时采取整改措施。内部审计部门应当跟踪检查整改措施的实施情况，涉及重大问题的整改情况，应及时向董事会或其授权的专门委员会提交有关报告。</w:t>
      </w:r>
    </w:p>
    <w:p w14:paraId="28CB21AA"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第五十九条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法人金融机构委托外部审计机构对洗钱风险管理工作开展评价的，外部审计必须确保审计范围和方法科学合理，审计人员具有必要的专业知识和经验，审计工作应当满足反洗钱保密要求。</w:t>
      </w:r>
    </w:p>
    <w:p w14:paraId="13D745C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lastRenderedPageBreak/>
        <w:t>第六十条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法人金融机构应当将反洗钱工作评价纳入绩效考核体系，将董事、监事、高级管理人员、洗钱风险管理人员的洗钱风险管理履职情况和业务部门、境内外分支机构和相关附属机构的洗钱风险管理履职情况纳入绩效考核范围。</w:t>
      </w:r>
    </w:p>
    <w:p w14:paraId="449DE1E0"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应当建立反洗钱奖惩机制，对于发现重大可疑交易线索或防范、遏止相关犯罪行为的员工给予适当的奖励或表扬；对于未有效履行反洗钱职责、受到反洗钱监管处罚、涉及洗钱犯罪的员工追究相关责任。</w:t>
      </w:r>
    </w:p>
    <w:p w14:paraId="77EF39BF" w14:textId="77777777" w:rsidR="00713652" w:rsidRPr="00DA57BA" w:rsidRDefault="00713652" w:rsidP="00E00C15">
      <w:pPr>
        <w:widowControl/>
        <w:spacing w:before="100" w:beforeAutospacing="1" w:after="100" w:afterAutospacing="1" w:line="360" w:lineRule="auto"/>
        <w:ind w:firstLineChars="200" w:firstLine="460"/>
        <w:jc w:val="center"/>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第八章</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附则</w:t>
      </w:r>
    </w:p>
    <w:p w14:paraId="2F873964"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第六十一条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未设立董事会和监事会的法人金融机构，由其高级管理层承担洗钱风险管理的最终责任，履行相应职责，并指定一个独立于反洗钱管理部门的内设部门承担洗钱风险管理的监督职责。</w:t>
      </w:r>
    </w:p>
    <w:p w14:paraId="71B18578"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法人金融机构根据本机构业务实际对反洗钱信息系统及其他相关系统的开发、日常维护及升级等工作作出其他安排的，应当确保相关安排满足洗钱风险管理需要。</w:t>
      </w:r>
    </w:p>
    <w:p w14:paraId="425A4C1F"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第六十二条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非银行支付机构、从事汇兑业务和基金销售业务的机构，以及银行卡清算机构、资金清算中心等从事清算业务的机构参照本指引开展洗钱风险管理。</w:t>
      </w:r>
    </w:p>
    <w:p w14:paraId="1D272119"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第六十三条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本指引由中国人民银行负责解释。</w:t>
      </w:r>
    </w:p>
    <w:p w14:paraId="012D7BC6" w14:textId="77777777" w:rsidR="00713652" w:rsidRPr="00DA57BA" w:rsidRDefault="00713652" w:rsidP="00713652">
      <w:pPr>
        <w:widowControl/>
        <w:spacing w:before="100" w:beforeAutospacing="1" w:after="100" w:afterAutospacing="1" w:line="360" w:lineRule="auto"/>
        <w:ind w:firstLineChars="200" w:firstLine="460"/>
        <w:jc w:val="left"/>
        <w:rPr>
          <w:rFonts w:ascii="simsun" w:eastAsia="宋体" w:hAnsi="simsun" w:cs="宋体" w:hint="eastAsia"/>
          <w:color w:val="464646"/>
          <w:kern w:val="0"/>
          <w:szCs w:val="21"/>
        </w:rPr>
      </w:pPr>
      <w:r w:rsidRPr="00DA57BA">
        <w:rPr>
          <w:rFonts w:ascii="宋体" w:eastAsia="宋体" w:hAnsi="宋体" w:cs="宋体" w:hint="eastAsia"/>
          <w:color w:val="464646"/>
          <w:kern w:val="0"/>
          <w:sz w:val="23"/>
          <w:szCs w:val="23"/>
        </w:rPr>
        <w:t>第六十四条</w:t>
      </w:r>
      <w:r w:rsidRPr="00DA57BA">
        <w:rPr>
          <w:rFonts w:ascii="simsun" w:eastAsia="宋体" w:hAnsi="simsun" w:cs="宋体"/>
          <w:color w:val="464646"/>
          <w:kern w:val="0"/>
          <w:sz w:val="23"/>
          <w:szCs w:val="23"/>
        </w:rPr>
        <w:t>  </w:t>
      </w:r>
      <w:r w:rsidRPr="00DA57BA">
        <w:rPr>
          <w:rFonts w:ascii="simsun" w:eastAsia="宋体" w:hAnsi="simsun" w:cs="宋体"/>
          <w:color w:val="464646"/>
          <w:kern w:val="0"/>
          <w:szCs w:val="21"/>
        </w:rPr>
        <w:t xml:space="preserve"> </w:t>
      </w:r>
      <w:r w:rsidRPr="00DA57BA">
        <w:rPr>
          <w:rFonts w:ascii="宋体" w:eastAsia="宋体" w:hAnsi="宋体" w:cs="宋体" w:hint="eastAsia"/>
          <w:color w:val="464646"/>
          <w:kern w:val="0"/>
          <w:sz w:val="23"/>
          <w:szCs w:val="23"/>
        </w:rPr>
        <w:t>本指引自</w:t>
      </w:r>
      <w:r w:rsidRPr="00DA57BA">
        <w:rPr>
          <w:rFonts w:ascii="simsun" w:eastAsia="宋体" w:hAnsi="simsun" w:cs="宋体"/>
          <w:color w:val="464646"/>
          <w:kern w:val="0"/>
          <w:sz w:val="23"/>
          <w:szCs w:val="23"/>
        </w:rPr>
        <w:t>2019</w:t>
      </w:r>
      <w:r w:rsidRPr="00DA57BA">
        <w:rPr>
          <w:rFonts w:ascii="宋体" w:eastAsia="宋体" w:hAnsi="宋体" w:cs="宋体" w:hint="eastAsia"/>
          <w:color w:val="464646"/>
          <w:kern w:val="0"/>
          <w:sz w:val="23"/>
          <w:szCs w:val="23"/>
        </w:rPr>
        <w:t>年</w:t>
      </w:r>
      <w:r w:rsidRPr="00DA57BA">
        <w:rPr>
          <w:rFonts w:ascii="simsun" w:eastAsia="宋体" w:hAnsi="simsun" w:cs="宋体"/>
          <w:color w:val="464646"/>
          <w:kern w:val="0"/>
          <w:sz w:val="23"/>
          <w:szCs w:val="23"/>
        </w:rPr>
        <w:t>1</w:t>
      </w:r>
      <w:r w:rsidRPr="00DA57BA">
        <w:rPr>
          <w:rFonts w:ascii="宋体" w:eastAsia="宋体" w:hAnsi="宋体" w:cs="宋体" w:hint="eastAsia"/>
          <w:color w:val="464646"/>
          <w:kern w:val="0"/>
          <w:sz w:val="23"/>
          <w:szCs w:val="23"/>
        </w:rPr>
        <w:t>月</w:t>
      </w:r>
      <w:r w:rsidRPr="00DA57BA">
        <w:rPr>
          <w:rFonts w:ascii="simsun" w:eastAsia="宋体" w:hAnsi="simsun" w:cs="宋体"/>
          <w:color w:val="464646"/>
          <w:kern w:val="0"/>
          <w:sz w:val="23"/>
          <w:szCs w:val="23"/>
        </w:rPr>
        <w:t>1</w:t>
      </w:r>
      <w:r w:rsidRPr="00DA57BA">
        <w:rPr>
          <w:rFonts w:ascii="宋体" w:eastAsia="宋体" w:hAnsi="宋体" w:cs="宋体" w:hint="eastAsia"/>
          <w:color w:val="464646"/>
          <w:kern w:val="0"/>
          <w:sz w:val="23"/>
          <w:szCs w:val="23"/>
        </w:rPr>
        <w:t>日起施行。</w:t>
      </w:r>
    </w:p>
    <w:p w14:paraId="48F21D8A" w14:textId="77777777" w:rsidR="0002427B" w:rsidRPr="00DA57BA" w:rsidRDefault="0002427B"/>
    <w:sectPr w:rsidR="0002427B" w:rsidRPr="00DA57BA" w:rsidSect="000242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1D1BF" w14:textId="77777777" w:rsidR="003C6405" w:rsidRDefault="003C6405" w:rsidP="005B7CA5">
      <w:r>
        <w:separator/>
      </w:r>
    </w:p>
  </w:endnote>
  <w:endnote w:type="continuationSeparator" w:id="0">
    <w:p w14:paraId="4B4401BD" w14:textId="77777777" w:rsidR="003C6405" w:rsidRDefault="003C6405" w:rsidP="005B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C711" w14:textId="77777777" w:rsidR="003C6405" w:rsidRDefault="003C6405" w:rsidP="005B7CA5">
      <w:r>
        <w:separator/>
      </w:r>
    </w:p>
  </w:footnote>
  <w:footnote w:type="continuationSeparator" w:id="0">
    <w:p w14:paraId="0B0BE192" w14:textId="77777777" w:rsidR="003C6405" w:rsidRDefault="003C6405" w:rsidP="005B7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652"/>
    <w:rsid w:val="00007A2A"/>
    <w:rsid w:val="0002427B"/>
    <w:rsid w:val="0008470F"/>
    <w:rsid w:val="000D0901"/>
    <w:rsid w:val="000D3A82"/>
    <w:rsid w:val="000E1363"/>
    <w:rsid w:val="000E7F4D"/>
    <w:rsid w:val="0010387D"/>
    <w:rsid w:val="001066E3"/>
    <w:rsid w:val="001071E3"/>
    <w:rsid w:val="0012257D"/>
    <w:rsid w:val="00131761"/>
    <w:rsid w:val="00143B08"/>
    <w:rsid w:val="001542A7"/>
    <w:rsid w:val="00172570"/>
    <w:rsid w:val="00172EE0"/>
    <w:rsid w:val="001769EA"/>
    <w:rsid w:val="00181C41"/>
    <w:rsid w:val="00183BCE"/>
    <w:rsid w:val="00191509"/>
    <w:rsid w:val="00195707"/>
    <w:rsid w:val="001A3C4A"/>
    <w:rsid w:val="001C5287"/>
    <w:rsid w:val="00220FA3"/>
    <w:rsid w:val="00291525"/>
    <w:rsid w:val="0029311B"/>
    <w:rsid w:val="002A3989"/>
    <w:rsid w:val="002A5AA0"/>
    <w:rsid w:val="002B0409"/>
    <w:rsid w:val="002B22CE"/>
    <w:rsid w:val="002C308E"/>
    <w:rsid w:val="002C4549"/>
    <w:rsid w:val="002E4B65"/>
    <w:rsid w:val="00325DCE"/>
    <w:rsid w:val="0033316C"/>
    <w:rsid w:val="003426C1"/>
    <w:rsid w:val="003438C5"/>
    <w:rsid w:val="00357B49"/>
    <w:rsid w:val="00391588"/>
    <w:rsid w:val="003942C8"/>
    <w:rsid w:val="0039549A"/>
    <w:rsid w:val="0039682B"/>
    <w:rsid w:val="003A09BF"/>
    <w:rsid w:val="003B3FA4"/>
    <w:rsid w:val="003C0BD8"/>
    <w:rsid w:val="003C222F"/>
    <w:rsid w:val="003C6405"/>
    <w:rsid w:val="003D6730"/>
    <w:rsid w:val="003E5B68"/>
    <w:rsid w:val="003F001F"/>
    <w:rsid w:val="003F4D60"/>
    <w:rsid w:val="00404CDA"/>
    <w:rsid w:val="004077F8"/>
    <w:rsid w:val="00435AC9"/>
    <w:rsid w:val="00443FE7"/>
    <w:rsid w:val="00461A91"/>
    <w:rsid w:val="00482BEA"/>
    <w:rsid w:val="00487918"/>
    <w:rsid w:val="004B1684"/>
    <w:rsid w:val="004C1A2E"/>
    <w:rsid w:val="004E4AB4"/>
    <w:rsid w:val="004F349B"/>
    <w:rsid w:val="00517CA8"/>
    <w:rsid w:val="005306D0"/>
    <w:rsid w:val="00551CF5"/>
    <w:rsid w:val="0055440F"/>
    <w:rsid w:val="005A20ED"/>
    <w:rsid w:val="005B2724"/>
    <w:rsid w:val="005B7CA5"/>
    <w:rsid w:val="005C72AF"/>
    <w:rsid w:val="005C78F4"/>
    <w:rsid w:val="005E4339"/>
    <w:rsid w:val="00622AFE"/>
    <w:rsid w:val="0063025A"/>
    <w:rsid w:val="00640208"/>
    <w:rsid w:val="00642F5F"/>
    <w:rsid w:val="006522D8"/>
    <w:rsid w:val="00661120"/>
    <w:rsid w:val="00662228"/>
    <w:rsid w:val="00664A54"/>
    <w:rsid w:val="006828C4"/>
    <w:rsid w:val="00683BDD"/>
    <w:rsid w:val="00695F0B"/>
    <w:rsid w:val="006A388A"/>
    <w:rsid w:val="006A578A"/>
    <w:rsid w:val="006B62FD"/>
    <w:rsid w:val="006B7B8C"/>
    <w:rsid w:val="0070210F"/>
    <w:rsid w:val="00710B47"/>
    <w:rsid w:val="00713652"/>
    <w:rsid w:val="00717EAA"/>
    <w:rsid w:val="00717F16"/>
    <w:rsid w:val="00721B69"/>
    <w:rsid w:val="007235BE"/>
    <w:rsid w:val="0074777C"/>
    <w:rsid w:val="007712D7"/>
    <w:rsid w:val="007723A1"/>
    <w:rsid w:val="007918B5"/>
    <w:rsid w:val="007C6013"/>
    <w:rsid w:val="007D465C"/>
    <w:rsid w:val="007F6D08"/>
    <w:rsid w:val="00837C9D"/>
    <w:rsid w:val="008427EF"/>
    <w:rsid w:val="00846145"/>
    <w:rsid w:val="00851081"/>
    <w:rsid w:val="008B35E3"/>
    <w:rsid w:val="008C3C33"/>
    <w:rsid w:val="008C676D"/>
    <w:rsid w:val="008D1E5A"/>
    <w:rsid w:val="008D73AA"/>
    <w:rsid w:val="008E6721"/>
    <w:rsid w:val="00904268"/>
    <w:rsid w:val="00936EFC"/>
    <w:rsid w:val="009375A1"/>
    <w:rsid w:val="009410B2"/>
    <w:rsid w:val="00951506"/>
    <w:rsid w:val="009531B7"/>
    <w:rsid w:val="0096202F"/>
    <w:rsid w:val="009755F2"/>
    <w:rsid w:val="00981C0C"/>
    <w:rsid w:val="00992ECA"/>
    <w:rsid w:val="009D05CD"/>
    <w:rsid w:val="009D123B"/>
    <w:rsid w:val="009D7159"/>
    <w:rsid w:val="009E2AA0"/>
    <w:rsid w:val="009F3F80"/>
    <w:rsid w:val="009F7476"/>
    <w:rsid w:val="00A235E7"/>
    <w:rsid w:val="00A649F3"/>
    <w:rsid w:val="00A822EE"/>
    <w:rsid w:val="00A92BB5"/>
    <w:rsid w:val="00A94547"/>
    <w:rsid w:val="00A96780"/>
    <w:rsid w:val="00AA0D43"/>
    <w:rsid w:val="00AA5BC2"/>
    <w:rsid w:val="00AE2AE2"/>
    <w:rsid w:val="00AE6348"/>
    <w:rsid w:val="00AF58A9"/>
    <w:rsid w:val="00B00079"/>
    <w:rsid w:val="00B22D70"/>
    <w:rsid w:val="00B42C42"/>
    <w:rsid w:val="00B64E89"/>
    <w:rsid w:val="00B6794C"/>
    <w:rsid w:val="00B732FC"/>
    <w:rsid w:val="00B775D0"/>
    <w:rsid w:val="00B953B7"/>
    <w:rsid w:val="00BA198A"/>
    <w:rsid w:val="00BA53A9"/>
    <w:rsid w:val="00BF2756"/>
    <w:rsid w:val="00BF4767"/>
    <w:rsid w:val="00BF5A97"/>
    <w:rsid w:val="00BF5E74"/>
    <w:rsid w:val="00C04884"/>
    <w:rsid w:val="00C703FF"/>
    <w:rsid w:val="00C70F40"/>
    <w:rsid w:val="00C71A64"/>
    <w:rsid w:val="00C81AF6"/>
    <w:rsid w:val="00C877A9"/>
    <w:rsid w:val="00C90F05"/>
    <w:rsid w:val="00CE0D8D"/>
    <w:rsid w:val="00CE5E63"/>
    <w:rsid w:val="00CF1BAF"/>
    <w:rsid w:val="00D02304"/>
    <w:rsid w:val="00D80FC3"/>
    <w:rsid w:val="00D82486"/>
    <w:rsid w:val="00D90D3E"/>
    <w:rsid w:val="00DA57BA"/>
    <w:rsid w:val="00DB3DB8"/>
    <w:rsid w:val="00DC0153"/>
    <w:rsid w:val="00DC43B3"/>
    <w:rsid w:val="00DC5CE1"/>
    <w:rsid w:val="00DE5966"/>
    <w:rsid w:val="00DF0635"/>
    <w:rsid w:val="00DF187C"/>
    <w:rsid w:val="00E00C15"/>
    <w:rsid w:val="00E10AE2"/>
    <w:rsid w:val="00E549D5"/>
    <w:rsid w:val="00E650A4"/>
    <w:rsid w:val="00EB10B1"/>
    <w:rsid w:val="00EB2D6C"/>
    <w:rsid w:val="00EE5E89"/>
    <w:rsid w:val="00F01100"/>
    <w:rsid w:val="00F64C1E"/>
    <w:rsid w:val="00FA6B8A"/>
    <w:rsid w:val="00FC454C"/>
    <w:rsid w:val="00FC59DF"/>
    <w:rsid w:val="00FD1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7CBC4"/>
  <w15:docId w15:val="{543C1A84-C166-4470-9C16-75B06B79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27B"/>
    <w:pPr>
      <w:widowControl w:val="0"/>
      <w:jc w:val="both"/>
    </w:pPr>
  </w:style>
  <w:style w:type="paragraph" w:styleId="2">
    <w:name w:val="heading 2"/>
    <w:basedOn w:val="a"/>
    <w:link w:val="2Char"/>
    <w:uiPriority w:val="9"/>
    <w:qFormat/>
    <w:rsid w:val="0071365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13652"/>
    <w:rPr>
      <w:rFonts w:ascii="宋体" w:eastAsia="宋体" w:hAnsi="宋体" w:cs="宋体"/>
      <w:b/>
      <w:bCs/>
      <w:kern w:val="0"/>
      <w:sz w:val="36"/>
      <w:szCs w:val="36"/>
    </w:rPr>
  </w:style>
  <w:style w:type="character" w:styleId="HTML">
    <w:name w:val="HTML Cite"/>
    <w:basedOn w:val="a0"/>
    <w:uiPriority w:val="99"/>
    <w:semiHidden/>
    <w:unhideWhenUsed/>
    <w:rsid w:val="00713652"/>
    <w:rPr>
      <w:i w:val="0"/>
      <w:iCs w:val="0"/>
    </w:rPr>
  </w:style>
  <w:style w:type="character" w:styleId="a3">
    <w:name w:val="Emphasis"/>
    <w:basedOn w:val="a0"/>
    <w:uiPriority w:val="20"/>
    <w:qFormat/>
    <w:rsid w:val="00713652"/>
    <w:rPr>
      <w:i w:val="0"/>
      <w:iCs w:val="0"/>
    </w:rPr>
  </w:style>
  <w:style w:type="paragraph" w:styleId="a4">
    <w:name w:val="Normal (Web)"/>
    <w:basedOn w:val="a"/>
    <w:uiPriority w:val="99"/>
    <w:semiHidden/>
    <w:unhideWhenUsed/>
    <w:rsid w:val="00713652"/>
    <w:pPr>
      <w:widowControl/>
      <w:spacing w:before="100" w:beforeAutospacing="1" w:after="100" w:afterAutospacing="1"/>
      <w:jc w:val="left"/>
    </w:pPr>
    <w:rPr>
      <w:rFonts w:ascii="宋体" w:eastAsia="宋体" w:hAnsi="宋体" w:cs="宋体"/>
      <w:kern w:val="0"/>
      <w:sz w:val="24"/>
      <w:szCs w:val="24"/>
    </w:rPr>
  </w:style>
  <w:style w:type="character" w:customStyle="1" w:styleId="time10">
    <w:name w:val="time10"/>
    <w:basedOn w:val="a0"/>
    <w:rsid w:val="00713652"/>
    <w:rPr>
      <w:rFonts w:ascii="Arial" w:hAnsi="Arial" w:cs="Arial" w:hint="default"/>
      <w:sz w:val="15"/>
      <w:szCs w:val="15"/>
    </w:rPr>
  </w:style>
  <w:style w:type="character" w:customStyle="1" w:styleId="sgtxtb6">
    <w:name w:val="sg_txtb6"/>
    <w:basedOn w:val="a0"/>
    <w:rsid w:val="00713652"/>
    <w:rPr>
      <w:rFonts w:ascii="宋体" w:eastAsia="宋体" w:hAnsi="宋体" w:hint="eastAsia"/>
      <w:color w:val="464646"/>
    </w:rPr>
  </w:style>
  <w:style w:type="character" w:customStyle="1" w:styleId="sgtxtb7">
    <w:name w:val="sg_txtb7"/>
    <w:basedOn w:val="a0"/>
    <w:rsid w:val="00713652"/>
    <w:rPr>
      <w:rFonts w:ascii="宋体" w:eastAsia="宋体" w:hAnsi="宋体" w:hint="eastAsia"/>
      <w:color w:val="464646"/>
    </w:rPr>
  </w:style>
  <w:style w:type="paragraph" w:styleId="a5">
    <w:name w:val="Balloon Text"/>
    <w:basedOn w:val="a"/>
    <w:link w:val="Char"/>
    <w:uiPriority w:val="99"/>
    <w:semiHidden/>
    <w:unhideWhenUsed/>
    <w:rsid w:val="00713652"/>
    <w:rPr>
      <w:sz w:val="18"/>
      <w:szCs w:val="18"/>
    </w:rPr>
  </w:style>
  <w:style w:type="character" w:customStyle="1" w:styleId="Char">
    <w:name w:val="批注框文本 Char"/>
    <w:basedOn w:val="a0"/>
    <w:link w:val="a5"/>
    <w:uiPriority w:val="99"/>
    <w:semiHidden/>
    <w:rsid w:val="00713652"/>
    <w:rPr>
      <w:sz w:val="18"/>
      <w:szCs w:val="18"/>
    </w:rPr>
  </w:style>
  <w:style w:type="paragraph" w:styleId="a6">
    <w:name w:val="header"/>
    <w:basedOn w:val="a"/>
    <w:link w:val="Char0"/>
    <w:uiPriority w:val="99"/>
    <w:unhideWhenUsed/>
    <w:rsid w:val="005B7C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B7CA5"/>
    <w:rPr>
      <w:sz w:val="18"/>
      <w:szCs w:val="18"/>
    </w:rPr>
  </w:style>
  <w:style w:type="paragraph" w:styleId="a7">
    <w:name w:val="footer"/>
    <w:basedOn w:val="a"/>
    <w:link w:val="Char1"/>
    <w:uiPriority w:val="99"/>
    <w:unhideWhenUsed/>
    <w:rsid w:val="005B7CA5"/>
    <w:pPr>
      <w:tabs>
        <w:tab w:val="center" w:pos="4153"/>
        <w:tab w:val="right" w:pos="8306"/>
      </w:tabs>
      <w:snapToGrid w:val="0"/>
      <w:jc w:val="left"/>
    </w:pPr>
    <w:rPr>
      <w:sz w:val="18"/>
      <w:szCs w:val="18"/>
    </w:rPr>
  </w:style>
  <w:style w:type="character" w:customStyle="1" w:styleId="Char1">
    <w:name w:val="页脚 Char"/>
    <w:basedOn w:val="a0"/>
    <w:link w:val="a7"/>
    <w:uiPriority w:val="99"/>
    <w:rsid w:val="005B7CA5"/>
    <w:rPr>
      <w:sz w:val="18"/>
      <w:szCs w:val="18"/>
    </w:rPr>
  </w:style>
  <w:style w:type="character" w:styleId="a8">
    <w:name w:val="annotation reference"/>
    <w:basedOn w:val="a0"/>
    <w:uiPriority w:val="99"/>
    <w:semiHidden/>
    <w:unhideWhenUsed/>
    <w:rsid w:val="00CE0D8D"/>
    <w:rPr>
      <w:sz w:val="21"/>
      <w:szCs w:val="21"/>
    </w:rPr>
  </w:style>
  <w:style w:type="paragraph" w:styleId="a9">
    <w:name w:val="annotation text"/>
    <w:basedOn w:val="a"/>
    <w:link w:val="Char2"/>
    <w:uiPriority w:val="99"/>
    <w:semiHidden/>
    <w:unhideWhenUsed/>
    <w:rsid w:val="00CE0D8D"/>
    <w:pPr>
      <w:jc w:val="left"/>
    </w:pPr>
  </w:style>
  <w:style w:type="character" w:customStyle="1" w:styleId="Char2">
    <w:name w:val="批注文字 Char"/>
    <w:basedOn w:val="a0"/>
    <w:link w:val="a9"/>
    <w:uiPriority w:val="99"/>
    <w:semiHidden/>
    <w:rsid w:val="00CE0D8D"/>
  </w:style>
  <w:style w:type="paragraph" w:styleId="aa">
    <w:name w:val="annotation subject"/>
    <w:basedOn w:val="a9"/>
    <w:next w:val="a9"/>
    <w:link w:val="Char3"/>
    <w:uiPriority w:val="99"/>
    <w:semiHidden/>
    <w:unhideWhenUsed/>
    <w:rsid w:val="00CE0D8D"/>
    <w:rPr>
      <w:b/>
      <w:bCs/>
    </w:rPr>
  </w:style>
  <w:style w:type="character" w:customStyle="1" w:styleId="Char3">
    <w:name w:val="批注主题 Char"/>
    <w:basedOn w:val="Char2"/>
    <w:link w:val="aa"/>
    <w:uiPriority w:val="99"/>
    <w:semiHidden/>
    <w:rsid w:val="00CE0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506080">
      <w:bodyDiv w:val="1"/>
      <w:marLeft w:val="0"/>
      <w:marRight w:val="0"/>
      <w:marTop w:val="0"/>
      <w:marBottom w:val="0"/>
      <w:divBdr>
        <w:top w:val="none" w:sz="0" w:space="0" w:color="auto"/>
        <w:left w:val="none" w:sz="0" w:space="0" w:color="auto"/>
        <w:bottom w:val="none" w:sz="0" w:space="0" w:color="auto"/>
        <w:right w:val="none" w:sz="0" w:space="0" w:color="auto"/>
      </w:divBdr>
      <w:divsChild>
        <w:div w:id="420033722">
          <w:marLeft w:val="0"/>
          <w:marRight w:val="0"/>
          <w:marTop w:val="0"/>
          <w:marBottom w:val="0"/>
          <w:divBdr>
            <w:top w:val="none" w:sz="0" w:space="0" w:color="auto"/>
            <w:left w:val="none" w:sz="0" w:space="0" w:color="auto"/>
            <w:bottom w:val="none" w:sz="0" w:space="0" w:color="auto"/>
            <w:right w:val="none" w:sz="0" w:space="0" w:color="auto"/>
          </w:divBdr>
          <w:divsChild>
            <w:div w:id="1057321973">
              <w:marLeft w:val="0"/>
              <w:marRight w:val="0"/>
              <w:marTop w:val="0"/>
              <w:marBottom w:val="0"/>
              <w:divBdr>
                <w:top w:val="none" w:sz="0" w:space="0" w:color="auto"/>
                <w:left w:val="none" w:sz="0" w:space="0" w:color="auto"/>
                <w:bottom w:val="none" w:sz="0" w:space="0" w:color="auto"/>
                <w:right w:val="none" w:sz="0" w:space="0" w:color="auto"/>
              </w:divBdr>
              <w:divsChild>
                <w:div w:id="189026084">
                  <w:marLeft w:val="0"/>
                  <w:marRight w:val="0"/>
                  <w:marTop w:val="0"/>
                  <w:marBottom w:val="0"/>
                  <w:divBdr>
                    <w:top w:val="none" w:sz="0" w:space="0" w:color="auto"/>
                    <w:left w:val="none" w:sz="0" w:space="0" w:color="auto"/>
                    <w:bottom w:val="none" w:sz="0" w:space="0" w:color="auto"/>
                    <w:right w:val="none" w:sz="0" w:space="0" w:color="auto"/>
                  </w:divBdr>
                  <w:divsChild>
                    <w:div w:id="2030372988">
                      <w:marLeft w:val="150"/>
                      <w:marRight w:val="0"/>
                      <w:marTop w:val="0"/>
                      <w:marBottom w:val="0"/>
                      <w:divBdr>
                        <w:top w:val="none" w:sz="0" w:space="0" w:color="auto"/>
                        <w:left w:val="none" w:sz="0" w:space="0" w:color="auto"/>
                        <w:bottom w:val="none" w:sz="0" w:space="0" w:color="auto"/>
                        <w:right w:val="none" w:sz="0" w:space="0" w:color="auto"/>
                      </w:divBdr>
                      <w:divsChild>
                        <w:div w:id="1314523580">
                          <w:marLeft w:val="0"/>
                          <w:marRight w:val="0"/>
                          <w:marTop w:val="0"/>
                          <w:marBottom w:val="150"/>
                          <w:divBdr>
                            <w:top w:val="none" w:sz="0" w:space="0" w:color="auto"/>
                            <w:left w:val="none" w:sz="0" w:space="0" w:color="auto"/>
                            <w:bottom w:val="none" w:sz="0" w:space="0" w:color="auto"/>
                            <w:right w:val="none" w:sz="0" w:space="0" w:color="auto"/>
                          </w:divBdr>
                          <w:divsChild>
                            <w:div w:id="953486526">
                              <w:marLeft w:val="0"/>
                              <w:marRight w:val="0"/>
                              <w:marTop w:val="0"/>
                              <w:marBottom w:val="0"/>
                              <w:divBdr>
                                <w:top w:val="none" w:sz="0" w:space="0" w:color="auto"/>
                                <w:left w:val="none" w:sz="0" w:space="0" w:color="auto"/>
                                <w:bottom w:val="none" w:sz="0" w:space="0" w:color="auto"/>
                                <w:right w:val="none" w:sz="0" w:space="0" w:color="auto"/>
                              </w:divBdr>
                              <w:divsChild>
                                <w:div w:id="1908571636">
                                  <w:marLeft w:val="0"/>
                                  <w:marRight w:val="0"/>
                                  <w:marTop w:val="0"/>
                                  <w:marBottom w:val="0"/>
                                  <w:divBdr>
                                    <w:top w:val="none" w:sz="0" w:space="0" w:color="auto"/>
                                    <w:left w:val="none" w:sz="0" w:space="0" w:color="auto"/>
                                    <w:bottom w:val="none" w:sz="0" w:space="0" w:color="auto"/>
                                    <w:right w:val="none" w:sz="0" w:space="0" w:color="auto"/>
                                  </w:divBdr>
                                  <w:divsChild>
                                    <w:div w:id="1684867158">
                                      <w:marLeft w:val="0"/>
                                      <w:marRight w:val="0"/>
                                      <w:marTop w:val="0"/>
                                      <w:marBottom w:val="0"/>
                                      <w:divBdr>
                                        <w:top w:val="none" w:sz="0" w:space="0" w:color="auto"/>
                                        <w:left w:val="none" w:sz="0" w:space="0" w:color="auto"/>
                                        <w:bottom w:val="none" w:sz="0" w:space="0" w:color="auto"/>
                                        <w:right w:val="none" w:sz="0" w:space="0" w:color="auto"/>
                                      </w:divBdr>
                                      <w:divsChild>
                                        <w:div w:id="1675646748">
                                          <w:marLeft w:val="0"/>
                                          <w:marRight w:val="0"/>
                                          <w:marTop w:val="0"/>
                                          <w:marBottom w:val="0"/>
                                          <w:divBdr>
                                            <w:top w:val="none" w:sz="0" w:space="0" w:color="auto"/>
                                            <w:left w:val="none" w:sz="0" w:space="0" w:color="auto"/>
                                            <w:bottom w:val="none" w:sz="0" w:space="0" w:color="auto"/>
                                            <w:right w:val="none" w:sz="0" w:space="0" w:color="auto"/>
                                          </w:divBdr>
                                        </w:div>
                                      </w:divsChild>
                                    </w:div>
                                    <w:div w:id="1706515872">
                                      <w:marLeft w:val="0"/>
                                      <w:marRight w:val="0"/>
                                      <w:marTop w:val="0"/>
                                      <w:marBottom w:val="0"/>
                                      <w:divBdr>
                                        <w:top w:val="none" w:sz="0" w:space="0" w:color="auto"/>
                                        <w:left w:val="none" w:sz="0" w:space="0" w:color="auto"/>
                                        <w:bottom w:val="none" w:sz="0" w:space="0" w:color="auto"/>
                                        <w:right w:val="none" w:sz="0" w:space="0" w:color="auto"/>
                                      </w:divBdr>
                                    </w:div>
                                    <w:div w:id="1510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0F2F-6F46-4432-8CF8-42AB0D2E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18</Pages>
  <Words>1837</Words>
  <Characters>10475</Characters>
  <Application>Microsoft Office Word</Application>
  <DocSecurity>0</DocSecurity>
  <Lines>87</Lines>
  <Paragraphs>24</Paragraphs>
  <ScaleCrop>false</ScaleCrop>
  <Company>Lenovo</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liuxd</dc:creator>
  <cp:lastModifiedBy>郭常明</cp:lastModifiedBy>
  <cp:revision>14</cp:revision>
  <dcterms:created xsi:type="dcterms:W3CDTF">2018-11-02T00:52:00Z</dcterms:created>
  <dcterms:modified xsi:type="dcterms:W3CDTF">2022-08-16T01:08:00Z</dcterms:modified>
</cp:coreProperties>
</file>